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Pr>
          <w:rFonts w:ascii="Arial" w:hAnsi="Arial" w:cs="Arial"/>
          <w:b/>
          <w:sz w:val="24"/>
          <w:lang w:val="en-US"/>
        </w:rPr>
        <w:t>3GPP TSG-RAN WG5 #98</w:t>
      </w:r>
      <w:r>
        <w:rPr>
          <w:rFonts w:ascii="Arial" w:hAnsi="Arial" w:cs="Arial"/>
          <w:b/>
          <w:sz w:val="24"/>
          <w:lang w:val="en-US"/>
        </w:rPr>
        <w:tab/>
      </w:r>
      <w:r>
        <w:rPr>
          <w:rFonts w:ascii="Arial" w:hAnsi="Arial" w:cs="Arial"/>
          <w:b/>
          <w:sz w:val="24"/>
          <w:lang w:val="en-US"/>
        </w:rPr>
        <w:tab/>
        <w:t>R5-230960</w:t>
      </w:r>
      <w:r>
        <w:rPr>
          <w:rFonts w:ascii="Arial" w:hAnsi="Arial" w:cs="Arial"/>
          <w:b/>
          <w:sz w:val="24"/>
          <w:lang w:val="en-US"/>
        </w:rPr>
        <w:br/>
      </w:r>
      <w:bookmarkEnd w:id="0"/>
      <w:r>
        <w:rPr>
          <w:rFonts w:ascii="Arial" w:hAnsi="Arial" w:cs="Arial"/>
          <w:b/>
          <w:sz w:val="24"/>
        </w:rPr>
        <w:t>Athens Greece, Feb 27 – March 3, 2023</w:t>
      </w:r>
    </w:p>
    <w:p>
      <w:pPr>
        <w:tabs>
          <w:tab w:val="left" w:pos="1985"/>
          <w:tab w:val="left" w:pos="7920"/>
        </w:tabs>
        <w:spacing w:after="0"/>
        <w:jc w:val="both"/>
        <w:rPr>
          <w:rFonts w:ascii="Arial" w:hAnsi="Arial" w:cs="Arial"/>
          <w:b/>
          <w:sz w:val="24"/>
          <w:szCs w:val="24"/>
        </w:rPr>
      </w:pPr>
    </w:p>
    <w:p>
      <w:pPr>
        <w:tabs>
          <w:tab w:val="left" w:pos="2160"/>
        </w:tabs>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sz w:val="24"/>
          <w:szCs w:val="24"/>
        </w:rPr>
        <w:t>5.3.19.10</w:t>
      </w:r>
    </w:p>
    <w:p>
      <w:pPr>
        <w:tabs>
          <w:tab w:val="left" w:pos="2160"/>
        </w:tabs>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sz w:val="24"/>
          <w:szCs w:val="24"/>
        </w:rPr>
        <w:t>Qualcomm  France</w:t>
      </w:r>
    </w:p>
    <w:p>
      <w:pPr>
        <w:tabs>
          <w:tab w:val="left" w:pos="2250"/>
        </w:tabs>
        <w:ind w:left="2160" w:hanging="2160"/>
        <w:rPr>
          <w:rFonts w:ascii="Arial" w:hAnsi="Arial" w:cs="Arial"/>
          <w:b/>
          <w:sz w:val="24"/>
          <w:szCs w:val="24"/>
        </w:rPr>
      </w:pPr>
      <w:r>
        <w:rPr>
          <w:rFonts w:ascii="Arial" w:hAnsi="Arial" w:cs="Arial"/>
          <w:b/>
          <w:sz w:val="24"/>
          <w:szCs w:val="24"/>
        </w:rPr>
        <w:t>Title:</w:t>
      </w:r>
      <w:r>
        <w:rPr>
          <w:rFonts w:ascii="Arial" w:hAnsi="Arial" w:cs="Arial"/>
          <w:b/>
          <w:sz w:val="24"/>
          <w:szCs w:val="24"/>
        </w:rPr>
        <w:tab/>
      </w:r>
      <w:r>
        <w:rPr>
          <w:rFonts w:ascii="Arial" w:hAnsi="Arial" w:cs="Arial"/>
          <w:sz w:val="24"/>
          <w:szCs w:val="24"/>
        </w:rPr>
        <w:t>Discussion on the applicability of RedCap UE</w:t>
      </w:r>
    </w:p>
    <w:p>
      <w:pPr>
        <w:tabs>
          <w:tab w:val="left" w:pos="2160"/>
        </w:tabs>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sz w:val="24"/>
          <w:szCs w:val="24"/>
        </w:rPr>
        <w:t>Endorsement</w:t>
      </w:r>
    </w:p>
    <w:bookmarkEnd w:id="1"/>
    <w:p>
      <w:pPr>
        <w:pStyle w:val="Heading1"/>
        <w:ind w:left="567" w:hanging="567"/>
      </w:pPr>
      <w:r>
        <w:t>1.</w:t>
      </w:r>
      <w:r>
        <w:tab/>
        <w:t>Introduction</w:t>
      </w:r>
    </w:p>
    <w:p>
      <w:pPr>
        <w:ind w:left="48"/>
        <w:rPr>
          <w:rFonts w:eastAsia="Batang"/>
          <w:sz w:val="22"/>
          <w:szCs w:val="22"/>
        </w:rPr>
      </w:pPr>
      <w:r>
        <w:rPr>
          <w:rFonts w:eastAsia="Batang"/>
          <w:sz w:val="22"/>
          <w:szCs w:val="22"/>
        </w:rPr>
        <w:t xml:space="preserve">RedCap UE conformance test cases have been added to TS 38.521-1[1] specification </w:t>
      </w:r>
      <w:proofErr w:type="gramStart"/>
      <w:r>
        <w:rPr>
          <w:rFonts w:eastAsia="Batang"/>
          <w:sz w:val="22"/>
          <w:szCs w:val="22"/>
        </w:rPr>
        <w:t>in order to</w:t>
      </w:r>
      <w:proofErr w:type="gramEnd"/>
      <w:r>
        <w:rPr>
          <w:rFonts w:eastAsia="Batang"/>
          <w:sz w:val="22"/>
          <w:szCs w:val="22"/>
        </w:rPr>
        <w:t xml:space="preserve"> meet new deployment of  RedCap capability support from 5G operators.  Specifically, this includes subclauses 6.2I (Transmitter power for RedCap) and 7.3I (Reference sensitivity for RedCap).  TS 38.522[2] applicability of these test cases has been updated accordingly. </w:t>
      </w:r>
    </w:p>
    <w:p>
      <w:pPr>
        <w:ind w:left="48"/>
        <w:rPr>
          <w:rFonts w:eastAsia="Batang"/>
          <w:sz w:val="22"/>
          <w:szCs w:val="22"/>
        </w:rPr>
      </w:pPr>
      <w:r>
        <w:rPr>
          <w:rFonts w:eastAsia="Batang"/>
          <w:sz w:val="22"/>
          <w:szCs w:val="22"/>
        </w:rPr>
        <w:t xml:space="preserve">We expect  RedCap UE specific test case and legacy test cases will be executed for RedCap UE based on UE signal RedCap capability. With the current applicability rules, some test cases will be executed </w:t>
      </w:r>
      <w:proofErr w:type="gramStart"/>
      <w:r>
        <w:rPr>
          <w:rFonts w:eastAsia="Batang"/>
          <w:sz w:val="22"/>
          <w:szCs w:val="22"/>
        </w:rPr>
        <w:t>twice</w:t>
      </w:r>
      <w:proofErr w:type="gramEnd"/>
      <w:r>
        <w:rPr>
          <w:rFonts w:eastAsia="Batang"/>
          <w:sz w:val="22"/>
          <w:szCs w:val="22"/>
        </w:rPr>
        <w:t xml:space="preserve"> and the test condition should be modified. </w:t>
      </w:r>
    </w:p>
    <w:p>
      <w:pPr>
        <w:ind w:left="48"/>
        <w:rPr>
          <w:rFonts w:eastAsia="Batang"/>
          <w:sz w:val="22"/>
          <w:szCs w:val="22"/>
        </w:rPr>
      </w:pPr>
      <w:r>
        <w:rPr>
          <w:rFonts w:eastAsia="Batang"/>
          <w:sz w:val="22"/>
          <w:szCs w:val="22"/>
        </w:rPr>
        <w:t>In this discussion paper, proposals are presented to avoid this to happen.</w:t>
      </w:r>
    </w:p>
    <w:p>
      <w:pPr>
        <w:pStyle w:val="Heading1"/>
        <w:ind w:left="567" w:hanging="567"/>
      </w:pPr>
      <w:r>
        <w:t xml:space="preserve">2. </w:t>
      </w:r>
      <w:r>
        <w:tab/>
        <w:t>Discussion</w:t>
      </w:r>
    </w:p>
    <w:p>
      <w:pPr>
        <w:pStyle w:val="Heading2"/>
        <w:rPr>
          <w:sz w:val="28"/>
          <w:szCs w:val="28"/>
        </w:rPr>
      </w:pPr>
      <w:r>
        <w:rPr>
          <w:sz w:val="28"/>
          <w:szCs w:val="28"/>
        </w:rPr>
        <w:t xml:space="preserve">2.1 </w:t>
      </w:r>
      <w:r>
        <w:rPr>
          <w:rFonts w:eastAsia="Batang"/>
          <w:sz w:val="28"/>
          <w:szCs w:val="28"/>
        </w:rPr>
        <w:t>RedCap Receiver RF test cases</w:t>
      </w:r>
    </w:p>
    <w:p>
      <w:pPr>
        <w:rPr>
          <w:sz w:val="22"/>
          <w:szCs w:val="22"/>
        </w:rPr>
      </w:pPr>
      <w:r>
        <w:rPr>
          <w:sz w:val="22"/>
          <w:szCs w:val="22"/>
        </w:rPr>
        <w:t xml:space="preserve">In TS 38.521-1 [1], UE Reference sensitivity is defined specifically for RedCap UE in subclause 7.3I.  In addition, subclause 7.1I also provides a general statement on what test cases shall be covered for RedCap UE conformance testing. </w:t>
      </w:r>
    </w:p>
    <w:p>
      <w:pPr>
        <w:rPr>
          <w:sz w:val="22"/>
          <w:szCs w:val="22"/>
        </w:rPr>
      </w:pPr>
      <w:r>
        <w:rPr>
          <w:sz w:val="22"/>
          <w:szCs w:val="22"/>
        </w:rPr>
        <w:t xml:space="preserve">For RedCap UE conformance testing, it is expected 7.3I and list of legacy test cases will be executed. </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87"/>
        <w:gridCol w:w="2469"/>
        <w:gridCol w:w="850"/>
        <w:gridCol w:w="4820"/>
      </w:tblGrid>
      <w:tr>
        <w:trPr>
          <w:trHeight w:val="279"/>
          <w:jc w:val="center"/>
        </w:trPr>
        <w:tc>
          <w:tcPr>
            <w:tcW w:w="787" w:type="dxa"/>
            <w:tcMar>
              <w:top w:w="0" w:type="dxa"/>
              <w:left w:w="108" w:type="dxa"/>
              <w:bottom w:w="0" w:type="dxa"/>
              <w:right w:w="108" w:type="dxa"/>
            </w:tcMar>
          </w:tcPr>
          <w:p>
            <w:pPr>
              <w:spacing w:after="0"/>
              <w:rPr>
                <w:rFonts w:ascii="Arial" w:hAnsi="Arial" w:cs="Arial"/>
                <w:color w:val="000000"/>
                <w:sz w:val="18"/>
                <w:szCs w:val="18"/>
              </w:rPr>
            </w:pPr>
          </w:p>
        </w:tc>
        <w:tc>
          <w:tcPr>
            <w:tcW w:w="2469" w:type="dxa"/>
            <w:noWrap/>
            <w:tcMar>
              <w:top w:w="0" w:type="dxa"/>
              <w:left w:w="108" w:type="dxa"/>
              <w:bottom w:w="0" w:type="dxa"/>
              <w:right w:w="108" w:type="dxa"/>
            </w:tcMar>
          </w:tcPr>
          <w:p>
            <w:pPr>
              <w:spacing w:after="0"/>
              <w:rPr>
                <w:rFonts w:ascii="Arial" w:hAnsi="Arial" w:cs="Arial"/>
                <w:color w:val="000000"/>
                <w:sz w:val="18"/>
                <w:szCs w:val="18"/>
              </w:rPr>
            </w:pPr>
          </w:p>
        </w:tc>
        <w:tc>
          <w:tcPr>
            <w:tcW w:w="850" w:type="dxa"/>
          </w:tcPr>
          <w:p>
            <w:pPr>
              <w:pStyle w:val="Default"/>
              <w:jc w:val="center"/>
              <w:rPr>
                <w:sz w:val="18"/>
                <w:szCs w:val="18"/>
              </w:rPr>
            </w:pPr>
            <w:r>
              <w:rPr>
                <w:b/>
                <w:bCs/>
                <w:sz w:val="18"/>
                <w:szCs w:val="18"/>
              </w:rPr>
              <w:t xml:space="preserve">Condition </w:t>
            </w:r>
          </w:p>
          <w:p>
            <w:pPr>
              <w:pStyle w:val="Default"/>
              <w:jc w:val="center"/>
              <w:rPr>
                <w:sz w:val="18"/>
                <w:szCs w:val="18"/>
              </w:rPr>
            </w:pPr>
          </w:p>
        </w:tc>
        <w:tc>
          <w:tcPr>
            <w:tcW w:w="4820" w:type="dxa"/>
          </w:tcPr>
          <w:p>
            <w:pPr>
              <w:pStyle w:val="Default"/>
              <w:jc w:val="center"/>
              <w:rPr>
                <w:b/>
                <w:bCs/>
                <w:sz w:val="18"/>
                <w:szCs w:val="18"/>
              </w:rPr>
            </w:pPr>
          </w:p>
        </w:tc>
      </w:tr>
      <w:tr>
        <w:trPr>
          <w:trHeight w:val="279"/>
          <w:jc w:val="center"/>
        </w:trPr>
        <w:tc>
          <w:tcPr>
            <w:tcW w:w="787" w:type="dxa"/>
            <w:tcMar>
              <w:top w:w="0" w:type="dxa"/>
              <w:left w:w="108" w:type="dxa"/>
              <w:bottom w:w="0" w:type="dxa"/>
              <w:right w:w="108" w:type="dxa"/>
            </w:tcMar>
          </w:tcPr>
          <w:p>
            <w:pPr>
              <w:spacing w:after="0"/>
              <w:rPr>
                <w:rFonts w:ascii="Arial" w:hAnsi="Arial" w:cs="Arial"/>
                <w:color w:val="000000"/>
                <w:sz w:val="18"/>
                <w:szCs w:val="18"/>
              </w:rPr>
            </w:pPr>
            <w:r>
              <w:rPr>
                <w:rFonts w:ascii="Arial" w:hAnsi="Arial" w:cs="Arial"/>
                <w:color w:val="000000"/>
                <w:sz w:val="18"/>
                <w:szCs w:val="18"/>
              </w:rPr>
              <w:t>7.3I.2</w:t>
            </w:r>
          </w:p>
        </w:tc>
        <w:tc>
          <w:tcPr>
            <w:tcW w:w="2469" w:type="dxa"/>
            <w:noWrap/>
            <w:tcMar>
              <w:top w:w="0" w:type="dxa"/>
              <w:left w:w="108" w:type="dxa"/>
              <w:bottom w:w="0" w:type="dxa"/>
              <w:right w:w="108" w:type="dxa"/>
            </w:tcMar>
          </w:tcPr>
          <w:p>
            <w:pPr>
              <w:spacing w:after="0"/>
              <w:rPr>
                <w:rFonts w:ascii="Arial" w:hAnsi="Arial" w:cs="Arial"/>
                <w:color w:val="000000"/>
                <w:sz w:val="18"/>
                <w:szCs w:val="18"/>
              </w:rPr>
            </w:pPr>
            <w:r>
              <w:rPr>
                <w:rFonts w:ascii="Arial" w:hAnsi="Arial" w:cs="Arial"/>
                <w:color w:val="000000"/>
                <w:sz w:val="18"/>
                <w:szCs w:val="18"/>
              </w:rPr>
              <w:t>Reference sensitivity for RedCap</w:t>
            </w:r>
          </w:p>
        </w:tc>
        <w:tc>
          <w:tcPr>
            <w:tcW w:w="850" w:type="dxa"/>
          </w:tcPr>
          <w:p>
            <w:pPr>
              <w:pStyle w:val="Default"/>
              <w:jc w:val="center"/>
              <w:rPr>
                <w:b/>
                <w:bCs/>
                <w:sz w:val="18"/>
                <w:szCs w:val="18"/>
              </w:rPr>
            </w:pPr>
            <w:r>
              <w:rPr>
                <w:b/>
                <w:bCs/>
                <w:sz w:val="18"/>
                <w:szCs w:val="18"/>
              </w:rPr>
              <w:t>C177</w:t>
            </w:r>
          </w:p>
        </w:tc>
        <w:tc>
          <w:tcPr>
            <w:tcW w:w="4820" w:type="dxa"/>
          </w:tcPr>
          <w:p>
            <w:pPr>
              <w:pStyle w:val="Default"/>
              <w:rPr>
                <w:sz w:val="18"/>
                <w:szCs w:val="18"/>
              </w:rPr>
            </w:pPr>
            <w:proofErr w:type="spellStart"/>
            <w:r>
              <w:rPr>
                <w:sz w:val="18"/>
                <w:szCs w:val="18"/>
              </w:rPr>
              <w:t>RedCap</w:t>
            </w:r>
            <w:proofErr w:type="spellEnd"/>
            <w:r>
              <w:rPr>
                <w:sz w:val="18"/>
                <w:szCs w:val="18"/>
              </w:rPr>
              <w:t xml:space="preserve"> UEs supporting 5GS FR1 </w:t>
            </w:r>
          </w:p>
          <w:p>
            <w:pPr>
              <w:pStyle w:val="Default"/>
              <w:jc w:val="center"/>
              <w:rPr>
                <w:sz w:val="18"/>
                <w:szCs w:val="18"/>
              </w:rPr>
            </w:pPr>
          </w:p>
        </w:tc>
      </w:tr>
      <w:tr>
        <w:trPr>
          <w:trHeight w:val="279"/>
          <w:jc w:val="center"/>
        </w:trPr>
        <w:tc>
          <w:tcPr>
            <w:tcW w:w="787" w:type="dxa"/>
            <w:tcMar>
              <w:top w:w="0" w:type="dxa"/>
              <w:left w:w="108" w:type="dxa"/>
              <w:bottom w:w="0" w:type="dxa"/>
              <w:right w:w="108" w:type="dxa"/>
            </w:tcMar>
          </w:tcPr>
          <w:p>
            <w:pPr>
              <w:spacing w:after="0"/>
              <w:rPr>
                <w:rFonts w:ascii="Arial" w:hAnsi="Arial" w:cs="Arial"/>
                <w:color w:val="000000"/>
                <w:sz w:val="18"/>
                <w:szCs w:val="18"/>
              </w:rPr>
            </w:pPr>
            <w:r>
              <w:rPr>
                <w:rFonts w:ascii="Arial" w:hAnsi="Arial" w:cs="Arial"/>
                <w:color w:val="000000"/>
                <w:sz w:val="18"/>
                <w:szCs w:val="18"/>
              </w:rPr>
              <w:t>7.3.2</w:t>
            </w:r>
          </w:p>
        </w:tc>
        <w:tc>
          <w:tcPr>
            <w:tcW w:w="2469" w:type="dxa"/>
            <w:noWrap/>
            <w:tcMar>
              <w:top w:w="0" w:type="dxa"/>
              <w:left w:w="108" w:type="dxa"/>
              <w:bottom w:w="0" w:type="dxa"/>
              <w:right w:w="108" w:type="dxa"/>
            </w:tcMar>
          </w:tcPr>
          <w:p>
            <w:pPr>
              <w:spacing w:after="0"/>
              <w:rPr>
                <w:rFonts w:ascii="Arial" w:hAnsi="Arial" w:cs="Arial"/>
                <w:color w:val="000000"/>
                <w:sz w:val="18"/>
                <w:szCs w:val="18"/>
              </w:rPr>
            </w:pPr>
            <w:r>
              <w:rPr>
                <w:rFonts w:ascii="Arial" w:hAnsi="Arial" w:cs="Arial"/>
                <w:color w:val="000000"/>
                <w:sz w:val="18"/>
                <w:szCs w:val="18"/>
              </w:rPr>
              <w:t xml:space="preserve">Reference sensitivity </w:t>
            </w:r>
          </w:p>
        </w:tc>
        <w:tc>
          <w:tcPr>
            <w:tcW w:w="850" w:type="dxa"/>
          </w:tcPr>
          <w:p>
            <w:pPr>
              <w:pStyle w:val="Default"/>
              <w:jc w:val="center"/>
              <w:rPr>
                <w:sz w:val="18"/>
                <w:szCs w:val="18"/>
              </w:rPr>
            </w:pPr>
            <w:r>
              <w:rPr>
                <w:sz w:val="18"/>
                <w:szCs w:val="18"/>
              </w:rPr>
              <w:t>C001h</w:t>
            </w:r>
          </w:p>
        </w:tc>
        <w:tc>
          <w:tcPr>
            <w:tcW w:w="4820" w:type="dxa"/>
          </w:tcPr>
          <w:p>
            <w:pPr>
              <w:pStyle w:val="Default"/>
              <w:rPr>
                <w:sz w:val="18"/>
                <w:szCs w:val="18"/>
              </w:rPr>
            </w:pPr>
            <w:r>
              <w:rPr>
                <w:sz w:val="18"/>
                <w:szCs w:val="18"/>
              </w:rPr>
              <w:t xml:space="preserve">UEs supporting 5GS FR1 not supporting txDiversity-r16 </w:t>
            </w:r>
          </w:p>
          <w:p>
            <w:pPr>
              <w:pStyle w:val="Default"/>
              <w:jc w:val="center"/>
              <w:rPr>
                <w:sz w:val="18"/>
                <w:szCs w:val="18"/>
              </w:rPr>
            </w:pPr>
          </w:p>
        </w:tc>
      </w:tr>
      <w:tr>
        <w:trPr>
          <w:trHeight w:val="279"/>
          <w:jc w:val="center"/>
        </w:trPr>
        <w:tc>
          <w:tcPr>
            <w:tcW w:w="787" w:type="dxa"/>
            <w:tcMar>
              <w:top w:w="0" w:type="dxa"/>
              <w:left w:w="108" w:type="dxa"/>
              <w:bottom w:w="0" w:type="dxa"/>
              <w:right w:w="108" w:type="dxa"/>
            </w:tcMar>
            <w:hideMark/>
          </w:tcPr>
          <w:p>
            <w:pPr>
              <w:spacing w:after="0"/>
              <w:rPr>
                <w:rFonts w:ascii="Arial" w:hAnsi="Arial" w:cs="Arial"/>
                <w:color w:val="000000"/>
                <w:sz w:val="18"/>
                <w:szCs w:val="18"/>
                <w:lang w:val="en-US" w:eastAsia="zh-CN"/>
              </w:rPr>
            </w:pPr>
            <w:r>
              <w:rPr>
                <w:rFonts w:ascii="Arial" w:hAnsi="Arial" w:cs="Arial"/>
                <w:color w:val="000000"/>
                <w:sz w:val="18"/>
                <w:szCs w:val="18"/>
              </w:rPr>
              <w:t>7.4</w:t>
            </w:r>
          </w:p>
        </w:tc>
        <w:tc>
          <w:tcPr>
            <w:tcW w:w="2469" w:type="dxa"/>
            <w:noWrap/>
            <w:tcMar>
              <w:top w:w="0" w:type="dxa"/>
              <w:left w:w="108" w:type="dxa"/>
              <w:bottom w:w="0" w:type="dxa"/>
              <w:right w:w="108" w:type="dxa"/>
            </w:tcMar>
            <w:hideMark/>
          </w:tcPr>
          <w:p>
            <w:pPr>
              <w:spacing w:after="0"/>
              <w:rPr>
                <w:rFonts w:ascii="Arial" w:hAnsi="Arial" w:cs="Arial"/>
                <w:color w:val="000000"/>
                <w:sz w:val="18"/>
                <w:szCs w:val="18"/>
              </w:rPr>
            </w:pPr>
            <w:r>
              <w:rPr>
                <w:rFonts w:ascii="Arial" w:hAnsi="Arial" w:cs="Arial"/>
                <w:color w:val="000000"/>
                <w:sz w:val="18"/>
                <w:szCs w:val="18"/>
              </w:rPr>
              <w:t>Maximum input level</w:t>
            </w:r>
          </w:p>
        </w:tc>
        <w:tc>
          <w:tcPr>
            <w:tcW w:w="850" w:type="dxa"/>
          </w:tcPr>
          <w:p>
            <w:pPr>
              <w:pStyle w:val="Default"/>
              <w:jc w:val="center"/>
              <w:rPr>
                <w:sz w:val="18"/>
                <w:szCs w:val="18"/>
              </w:rPr>
            </w:pPr>
            <w:r>
              <w:rPr>
                <w:sz w:val="18"/>
                <w:szCs w:val="18"/>
              </w:rPr>
              <w:t>C001</w:t>
            </w:r>
          </w:p>
        </w:tc>
        <w:tc>
          <w:tcPr>
            <w:tcW w:w="4820" w:type="dxa"/>
          </w:tcPr>
          <w:p>
            <w:pPr>
              <w:pStyle w:val="Default"/>
              <w:rPr>
                <w:sz w:val="18"/>
                <w:szCs w:val="18"/>
              </w:rPr>
            </w:pPr>
            <w:r>
              <w:rPr>
                <w:sz w:val="18"/>
                <w:szCs w:val="18"/>
              </w:rPr>
              <w:t xml:space="preserve">UEs supporting 5GS FR1 </w:t>
            </w:r>
          </w:p>
        </w:tc>
      </w:tr>
      <w:tr>
        <w:trPr>
          <w:trHeight w:val="269"/>
          <w:jc w:val="center"/>
        </w:trPr>
        <w:tc>
          <w:tcPr>
            <w:tcW w:w="787" w:type="dxa"/>
            <w:tcMar>
              <w:top w:w="0" w:type="dxa"/>
              <w:left w:w="108" w:type="dxa"/>
              <w:bottom w:w="0" w:type="dxa"/>
              <w:right w:w="108" w:type="dxa"/>
            </w:tcMar>
            <w:hideMark/>
          </w:tcPr>
          <w:p>
            <w:pPr>
              <w:spacing w:after="0"/>
              <w:rPr>
                <w:rFonts w:ascii="Arial" w:hAnsi="Arial" w:cs="Arial"/>
                <w:color w:val="000000"/>
                <w:sz w:val="18"/>
                <w:szCs w:val="18"/>
              </w:rPr>
            </w:pPr>
            <w:r>
              <w:rPr>
                <w:rFonts w:ascii="Arial" w:hAnsi="Arial" w:cs="Arial"/>
                <w:color w:val="000000"/>
                <w:sz w:val="18"/>
                <w:szCs w:val="18"/>
              </w:rPr>
              <w:t>7.5</w:t>
            </w:r>
          </w:p>
        </w:tc>
        <w:tc>
          <w:tcPr>
            <w:tcW w:w="2469" w:type="dxa"/>
            <w:noWrap/>
            <w:tcMar>
              <w:top w:w="0" w:type="dxa"/>
              <w:left w:w="108" w:type="dxa"/>
              <w:bottom w:w="0" w:type="dxa"/>
              <w:right w:w="108" w:type="dxa"/>
            </w:tcMar>
            <w:hideMark/>
          </w:tcPr>
          <w:p>
            <w:pPr>
              <w:spacing w:after="0"/>
              <w:rPr>
                <w:rFonts w:ascii="Arial" w:hAnsi="Arial" w:cs="Arial"/>
                <w:color w:val="000000"/>
                <w:sz w:val="18"/>
                <w:szCs w:val="18"/>
              </w:rPr>
            </w:pPr>
            <w:r>
              <w:rPr>
                <w:rFonts w:ascii="Arial" w:hAnsi="Arial" w:cs="Arial"/>
                <w:color w:val="000000"/>
                <w:sz w:val="18"/>
                <w:szCs w:val="18"/>
              </w:rPr>
              <w:t>Adjacent channel selectivity</w:t>
            </w:r>
          </w:p>
        </w:tc>
        <w:tc>
          <w:tcPr>
            <w:tcW w:w="850" w:type="dxa"/>
          </w:tcPr>
          <w:p>
            <w:pPr>
              <w:pStyle w:val="Default"/>
              <w:jc w:val="center"/>
              <w:rPr>
                <w:sz w:val="18"/>
                <w:szCs w:val="18"/>
              </w:rPr>
            </w:pPr>
            <w:r>
              <w:rPr>
                <w:sz w:val="18"/>
                <w:szCs w:val="18"/>
              </w:rPr>
              <w:t>C001</w:t>
            </w:r>
          </w:p>
        </w:tc>
        <w:tc>
          <w:tcPr>
            <w:tcW w:w="4820" w:type="dxa"/>
          </w:tcPr>
          <w:p>
            <w:pPr>
              <w:pStyle w:val="Default"/>
              <w:rPr>
                <w:sz w:val="18"/>
                <w:szCs w:val="18"/>
              </w:rPr>
            </w:pPr>
            <w:r>
              <w:rPr>
                <w:sz w:val="18"/>
                <w:szCs w:val="18"/>
              </w:rPr>
              <w:t>UEs supporting 5GS FR1</w:t>
            </w:r>
          </w:p>
        </w:tc>
      </w:tr>
      <w:tr>
        <w:trPr>
          <w:trHeight w:val="273"/>
          <w:jc w:val="center"/>
        </w:trPr>
        <w:tc>
          <w:tcPr>
            <w:tcW w:w="787" w:type="dxa"/>
            <w:tcMar>
              <w:top w:w="0" w:type="dxa"/>
              <w:left w:w="108" w:type="dxa"/>
              <w:bottom w:w="0" w:type="dxa"/>
              <w:right w:w="108" w:type="dxa"/>
            </w:tcMar>
            <w:hideMark/>
          </w:tcPr>
          <w:p>
            <w:pPr>
              <w:spacing w:after="0"/>
              <w:rPr>
                <w:rFonts w:ascii="Arial" w:hAnsi="Arial" w:cs="Arial"/>
                <w:color w:val="000000"/>
                <w:sz w:val="18"/>
                <w:szCs w:val="18"/>
              </w:rPr>
            </w:pPr>
            <w:r>
              <w:rPr>
                <w:rFonts w:ascii="Arial" w:hAnsi="Arial" w:cs="Arial"/>
                <w:color w:val="000000"/>
                <w:sz w:val="18"/>
                <w:szCs w:val="18"/>
              </w:rPr>
              <w:t>7.6.2</w:t>
            </w:r>
          </w:p>
        </w:tc>
        <w:tc>
          <w:tcPr>
            <w:tcW w:w="2469" w:type="dxa"/>
            <w:noWrap/>
            <w:tcMar>
              <w:top w:w="0" w:type="dxa"/>
              <w:left w:w="108" w:type="dxa"/>
              <w:bottom w:w="0" w:type="dxa"/>
              <w:right w:w="108" w:type="dxa"/>
            </w:tcMar>
            <w:hideMark/>
          </w:tcPr>
          <w:p>
            <w:pPr>
              <w:spacing w:after="0"/>
              <w:rPr>
                <w:rFonts w:ascii="Arial" w:hAnsi="Arial" w:cs="Arial"/>
                <w:color w:val="000000"/>
                <w:sz w:val="18"/>
                <w:szCs w:val="18"/>
              </w:rPr>
            </w:pPr>
            <w:r>
              <w:rPr>
                <w:rFonts w:ascii="Arial" w:hAnsi="Arial" w:cs="Arial"/>
                <w:color w:val="000000"/>
                <w:sz w:val="18"/>
                <w:szCs w:val="18"/>
              </w:rPr>
              <w:t>Inband blocking</w:t>
            </w:r>
          </w:p>
        </w:tc>
        <w:tc>
          <w:tcPr>
            <w:tcW w:w="850" w:type="dxa"/>
          </w:tcPr>
          <w:p>
            <w:pPr>
              <w:pStyle w:val="Default"/>
              <w:jc w:val="center"/>
              <w:rPr>
                <w:sz w:val="18"/>
                <w:szCs w:val="18"/>
              </w:rPr>
            </w:pPr>
            <w:r>
              <w:rPr>
                <w:sz w:val="18"/>
                <w:szCs w:val="18"/>
              </w:rPr>
              <w:t>C001</w:t>
            </w:r>
          </w:p>
        </w:tc>
        <w:tc>
          <w:tcPr>
            <w:tcW w:w="4820" w:type="dxa"/>
          </w:tcPr>
          <w:p>
            <w:pPr>
              <w:pStyle w:val="Default"/>
              <w:rPr>
                <w:sz w:val="18"/>
                <w:szCs w:val="18"/>
              </w:rPr>
            </w:pPr>
            <w:r>
              <w:rPr>
                <w:sz w:val="18"/>
                <w:szCs w:val="18"/>
              </w:rPr>
              <w:t>UEs supporting 5GS FR1</w:t>
            </w:r>
          </w:p>
        </w:tc>
      </w:tr>
      <w:tr>
        <w:trPr>
          <w:trHeight w:val="276"/>
          <w:jc w:val="center"/>
        </w:trPr>
        <w:tc>
          <w:tcPr>
            <w:tcW w:w="787" w:type="dxa"/>
            <w:tcMar>
              <w:top w:w="0" w:type="dxa"/>
              <w:left w:w="108" w:type="dxa"/>
              <w:bottom w:w="0" w:type="dxa"/>
              <w:right w:w="108" w:type="dxa"/>
            </w:tcMar>
            <w:hideMark/>
          </w:tcPr>
          <w:p>
            <w:pPr>
              <w:spacing w:after="0"/>
              <w:rPr>
                <w:rFonts w:ascii="Arial" w:hAnsi="Arial" w:cs="Arial"/>
                <w:color w:val="000000"/>
                <w:sz w:val="18"/>
                <w:szCs w:val="18"/>
              </w:rPr>
            </w:pPr>
            <w:r>
              <w:rPr>
                <w:rFonts w:ascii="Arial" w:hAnsi="Arial" w:cs="Arial"/>
                <w:color w:val="000000"/>
                <w:sz w:val="18"/>
                <w:szCs w:val="18"/>
              </w:rPr>
              <w:t>7.6.3</w:t>
            </w:r>
          </w:p>
        </w:tc>
        <w:tc>
          <w:tcPr>
            <w:tcW w:w="2469" w:type="dxa"/>
            <w:noWrap/>
            <w:tcMar>
              <w:top w:w="0" w:type="dxa"/>
              <w:left w:w="108" w:type="dxa"/>
              <w:bottom w:w="0" w:type="dxa"/>
              <w:right w:w="108" w:type="dxa"/>
            </w:tcMar>
            <w:hideMark/>
          </w:tcPr>
          <w:p>
            <w:pPr>
              <w:spacing w:after="0"/>
              <w:rPr>
                <w:rFonts w:ascii="Arial" w:hAnsi="Arial" w:cs="Arial"/>
                <w:color w:val="000000"/>
                <w:sz w:val="18"/>
                <w:szCs w:val="18"/>
              </w:rPr>
            </w:pPr>
            <w:r>
              <w:rPr>
                <w:rFonts w:ascii="Arial" w:hAnsi="Arial" w:cs="Arial"/>
                <w:color w:val="000000"/>
                <w:sz w:val="18"/>
                <w:szCs w:val="18"/>
              </w:rPr>
              <w:t>Out-of-band blocking</w:t>
            </w:r>
          </w:p>
        </w:tc>
        <w:tc>
          <w:tcPr>
            <w:tcW w:w="850" w:type="dxa"/>
          </w:tcPr>
          <w:p>
            <w:pPr>
              <w:pStyle w:val="Default"/>
              <w:jc w:val="center"/>
              <w:rPr>
                <w:sz w:val="18"/>
                <w:szCs w:val="18"/>
              </w:rPr>
            </w:pPr>
            <w:r>
              <w:rPr>
                <w:sz w:val="18"/>
                <w:szCs w:val="18"/>
              </w:rPr>
              <w:t>C001</w:t>
            </w:r>
          </w:p>
        </w:tc>
        <w:tc>
          <w:tcPr>
            <w:tcW w:w="4820" w:type="dxa"/>
          </w:tcPr>
          <w:p>
            <w:pPr>
              <w:pStyle w:val="Default"/>
              <w:rPr>
                <w:sz w:val="18"/>
                <w:szCs w:val="18"/>
              </w:rPr>
            </w:pPr>
            <w:r>
              <w:rPr>
                <w:sz w:val="18"/>
                <w:szCs w:val="18"/>
              </w:rPr>
              <w:t>UEs supporting 5GS FR1</w:t>
            </w:r>
          </w:p>
        </w:tc>
      </w:tr>
      <w:tr>
        <w:trPr>
          <w:trHeight w:val="267"/>
          <w:jc w:val="center"/>
        </w:trPr>
        <w:tc>
          <w:tcPr>
            <w:tcW w:w="787" w:type="dxa"/>
            <w:tcMar>
              <w:top w:w="0" w:type="dxa"/>
              <w:left w:w="108" w:type="dxa"/>
              <w:bottom w:w="0" w:type="dxa"/>
              <w:right w:w="108" w:type="dxa"/>
            </w:tcMar>
            <w:hideMark/>
          </w:tcPr>
          <w:p>
            <w:pPr>
              <w:spacing w:after="0"/>
              <w:rPr>
                <w:rFonts w:ascii="Arial" w:hAnsi="Arial" w:cs="Arial"/>
                <w:color w:val="000000"/>
                <w:sz w:val="18"/>
                <w:szCs w:val="18"/>
              </w:rPr>
            </w:pPr>
            <w:r>
              <w:rPr>
                <w:rFonts w:ascii="Arial" w:hAnsi="Arial" w:cs="Arial"/>
                <w:color w:val="000000"/>
                <w:sz w:val="18"/>
                <w:szCs w:val="18"/>
              </w:rPr>
              <w:t>7.6.4</w:t>
            </w:r>
          </w:p>
        </w:tc>
        <w:tc>
          <w:tcPr>
            <w:tcW w:w="2469" w:type="dxa"/>
            <w:noWrap/>
            <w:tcMar>
              <w:top w:w="0" w:type="dxa"/>
              <w:left w:w="108" w:type="dxa"/>
              <w:bottom w:w="0" w:type="dxa"/>
              <w:right w:w="108" w:type="dxa"/>
            </w:tcMar>
            <w:hideMark/>
          </w:tcPr>
          <w:p>
            <w:pPr>
              <w:spacing w:after="0"/>
              <w:rPr>
                <w:rFonts w:ascii="Arial" w:hAnsi="Arial" w:cs="Arial"/>
                <w:color w:val="000000"/>
                <w:sz w:val="18"/>
                <w:szCs w:val="18"/>
              </w:rPr>
            </w:pPr>
            <w:r>
              <w:rPr>
                <w:rFonts w:ascii="Arial" w:hAnsi="Arial" w:cs="Arial"/>
                <w:color w:val="000000"/>
                <w:sz w:val="18"/>
                <w:szCs w:val="18"/>
              </w:rPr>
              <w:t>Narrow band blocking</w:t>
            </w:r>
          </w:p>
        </w:tc>
        <w:tc>
          <w:tcPr>
            <w:tcW w:w="850" w:type="dxa"/>
          </w:tcPr>
          <w:p>
            <w:pPr>
              <w:pStyle w:val="Default"/>
              <w:jc w:val="center"/>
              <w:rPr>
                <w:sz w:val="18"/>
                <w:szCs w:val="18"/>
              </w:rPr>
            </w:pPr>
            <w:r>
              <w:rPr>
                <w:sz w:val="18"/>
                <w:szCs w:val="18"/>
              </w:rPr>
              <w:t>C001</w:t>
            </w:r>
          </w:p>
        </w:tc>
        <w:tc>
          <w:tcPr>
            <w:tcW w:w="4820" w:type="dxa"/>
          </w:tcPr>
          <w:p>
            <w:pPr>
              <w:pStyle w:val="Default"/>
              <w:rPr>
                <w:sz w:val="18"/>
                <w:szCs w:val="18"/>
              </w:rPr>
            </w:pPr>
            <w:r>
              <w:rPr>
                <w:sz w:val="18"/>
                <w:szCs w:val="18"/>
              </w:rPr>
              <w:t>UEs supporting 5GS FR1</w:t>
            </w:r>
          </w:p>
        </w:tc>
      </w:tr>
      <w:tr>
        <w:trPr>
          <w:trHeight w:val="270"/>
          <w:jc w:val="center"/>
        </w:trPr>
        <w:tc>
          <w:tcPr>
            <w:tcW w:w="787" w:type="dxa"/>
            <w:tcMar>
              <w:top w:w="0" w:type="dxa"/>
              <w:left w:w="108" w:type="dxa"/>
              <w:bottom w:w="0" w:type="dxa"/>
              <w:right w:w="108" w:type="dxa"/>
            </w:tcMar>
            <w:hideMark/>
          </w:tcPr>
          <w:p>
            <w:pPr>
              <w:spacing w:after="0"/>
              <w:rPr>
                <w:rFonts w:ascii="Arial" w:hAnsi="Arial" w:cs="Arial"/>
                <w:color w:val="000000"/>
                <w:sz w:val="18"/>
                <w:szCs w:val="18"/>
              </w:rPr>
            </w:pPr>
            <w:r>
              <w:rPr>
                <w:rFonts w:ascii="Arial" w:hAnsi="Arial" w:cs="Arial"/>
                <w:color w:val="000000"/>
                <w:sz w:val="18"/>
                <w:szCs w:val="18"/>
              </w:rPr>
              <w:t>7.7</w:t>
            </w:r>
          </w:p>
        </w:tc>
        <w:tc>
          <w:tcPr>
            <w:tcW w:w="2469" w:type="dxa"/>
            <w:noWrap/>
            <w:tcMar>
              <w:top w:w="0" w:type="dxa"/>
              <w:left w:w="108" w:type="dxa"/>
              <w:bottom w:w="0" w:type="dxa"/>
              <w:right w:w="108" w:type="dxa"/>
            </w:tcMar>
            <w:hideMark/>
          </w:tcPr>
          <w:p>
            <w:pPr>
              <w:spacing w:after="0"/>
              <w:rPr>
                <w:rFonts w:ascii="Arial" w:hAnsi="Arial" w:cs="Arial"/>
                <w:color w:val="000000"/>
                <w:sz w:val="18"/>
                <w:szCs w:val="18"/>
              </w:rPr>
            </w:pPr>
            <w:r>
              <w:rPr>
                <w:rFonts w:ascii="Arial" w:hAnsi="Arial" w:cs="Arial"/>
                <w:color w:val="000000"/>
                <w:sz w:val="18"/>
                <w:szCs w:val="18"/>
              </w:rPr>
              <w:t>Spurious response</w:t>
            </w:r>
          </w:p>
        </w:tc>
        <w:tc>
          <w:tcPr>
            <w:tcW w:w="850" w:type="dxa"/>
          </w:tcPr>
          <w:p>
            <w:pPr>
              <w:pStyle w:val="Default"/>
              <w:jc w:val="center"/>
              <w:rPr>
                <w:sz w:val="18"/>
                <w:szCs w:val="18"/>
              </w:rPr>
            </w:pPr>
            <w:r>
              <w:rPr>
                <w:sz w:val="18"/>
                <w:szCs w:val="18"/>
              </w:rPr>
              <w:t>C001</w:t>
            </w:r>
          </w:p>
        </w:tc>
        <w:tc>
          <w:tcPr>
            <w:tcW w:w="4820" w:type="dxa"/>
          </w:tcPr>
          <w:p>
            <w:pPr>
              <w:pStyle w:val="Default"/>
              <w:rPr>
                <w:sz w:val="18"/>
                <w:szCs w:val="18"/>
              </w:rPr>
            </w:pPr>
            <w:r>
              <w:rPr>
                <w:sz w:val="18"/>
                <w:szCs w:val="18"/>
              </w:rPr>
              <w:t>UEs supporting 5GS FR1</w:t>
            </w:r>
          </w:p>
        </w:tc>
      </w:tr>
      <w:tr>
        <w:trPr>
          <w:trHeight w:val="289"/>
          <w:jc w:val="center"/>
        </w:trPr>
        <w:tc>
          <w:tcPr>
            <w:tcW w:w="787" w:type="dxa"/>
            <w:tcMar>
              <w:top w:w="0" w:type="dxa"/>
              <w:left w:w="108" w:type="dxa"/>
              <w:bottom w:w="0" w:type="dxa"/>
              <w:right w:w="108" w:type="dxa"/>
            </w:tcMar>
            <w:hideMark/>
          </w:tcPr>
          <w:p>
            <w:pPr>
              <w:spacing w:after="0"/>
              <w:rPr>
                <w:rFonts w:ascii="Arial" w:hAnsi="Arial" w:cs="Arial"/>
                <w:color w:val="000000"/>
                <w:sz w:val="18"/>
                <w:szCs w:val="18"/>
              </w:rPr>
            </w:pPr>
            <w:r>
              <w:rPr>
                <w:rFonts w:ascii="Arial" w:hAnsi="Arial" w:cs="Arial"/>
                <w:color w:val="000000"/>
                <w:sz w:val="18"/>
                <w:szCs w:val="18"/>
              </w:rPr>
              <w:t>7.8.2</w:t>
            </w:r>
          </w:p>
        </w:tc>
        <w:tc>
          <w:tcPr>
            <w:tcW w:w="2469" w:type="dxa"/>
            <w:noWrap/>
            <w:tcMar>
              <w:top w:w="0" w:type="dxa"/>
              <w:left w:w="108" w:type="dxa"/>
              <w:bottom w:w="0" w:type="dxa"/>
              <w:right w:w="108" w:type="dxa"/>
            </w:tcMar>
            <w:hideMark/>
          </w:tcPr>
          <w:p>
            <w:pPr>
              <w:spacing w:after="0"/>
              <w:rPr>
                <w:rFonts w:ascii="Arial" w:hAnsi="Arial" w:cs="Arial"/>
                <w:color w:val="000000"/>
                <w:sz w:val="18"/>
                <w:szCs w:val="18"/>
              </w:rPr>
            </w:pPr>
            <w:r>
              <w:rPr>
                <w:rFonts w:ascii="Arial" w:hAnsi="Arial" w:cs="Arial"/>
                <w:color w:val="000000"/>
                <w:sz w:val="18"/>
                <w:szCs w:val="18"/>
              </w:rPr>
              <w:t>Wide band Intermodulation</w:t>
            </w:r>
          </w:p>
        </w:tc>
        <w:tc>
          <w:tcPr>
            <w:tcW w:w="850" w:type="dxa"/>
          </w:tcPr>
          <w:p>
            <w:pPr>
              <w:pStyle w:val="Default"/>
              <w:jc w:val="center"/>
              <w:rPr>
                <w:sz w:val="18"/>
                <w:szCs w:val="18"/>
              </w:rPr>
            </w:pPr>
            <w:r>
              <w:rPr>
                <w:sz w:val="18"/>
                <w:szCs w:val="18"/>
              </w:rPr>
              <w:t>C001</w:t>
            </w:r>
          </w:p>
        </w:tc>
        <w:tc>
          <w:tcPr>
            <w:tcW w:w="4820" w:type="dxa"/>
          </w:tcPr>
          <w:p>
            <w:pPr>
              <w:pStyle w:val="Default"/>
              <w:rPr>
                <w:sz w:val="18"/>
                <w:szCs w:val="18"/>
              </w:rPr>
            </w:pPr>
            <w:r>
              <w:rPr>
                <w:sz w:val="18"/>
                <w:szCs w:val="18"/>
              </w:rPr>
              <w:t>UEs supporting 5GS FR1</w:t>
            </w:r>
          </w:p>
        </w:tc>
      </w:tr>
      <w:tr>
        <w:trPr>
          <w:trHeight w:val="266"/>
          <w:jc w:val="center"/>
        </w:trPr>
        <w:tc>
          <w:tcPr>
            <w:tcW w:w="787" w:type="dxa"/>
            <w:tcMar>
              <w:top w:w="0" w:type="dxa"/>
              <w:left w:w="108" w:type="dxa"/>
              <w:bottom w:w="0" w:type="dxa"/>
              <w:right w:w="108" w:type="dxa"/>
            </w:tcMar>
            <w:hideMark/>
          </w:tcPr>
          <w:p>
            <w:pPr>
              <w:spacing w:after="0"/>
              <w:rPr>
                <w:rFonts w:ascii="Arial" w:hAnsi="Arial" w:cs="Arial"/>
                <w:color w:val="000000"/>
                <w:sz w:val="18"/>
                <w:szCs w:val="18"/>
              </w:rPr>
            </w:pPr>
            <w:r>
              <w:rPr>
                <w:rFonts w:ascii="Arial" w:hAnsi="Arial" w:cs="Arial"/>
                <w:color w:val="000000"/>
                <w:sz w:val="18"/>
                <w:szCs w:val="18"/>
              </w:rPr>
              <w:t>7.9</w:t>
            </w:r>
          </w:p>
        </w:tc>
        <w:tc>
          <w:tcPr>
            <w:tcW w:w="2469" w:type="dxa"/>
            <w:noWrap/>
            <w:tcMar>
              <w:top w:w="0" w:type="dxa"/>
              <w:left w:w="108" w:type="dxa"/>
              <w:bottom w:w="0" w:type="dxa"/>
              <w:right w:w="108" w:type="dxa"/>
            </w:tcMar>
            <w:hideMark/>
          </w:tcPr>
          <w:p>
            <w:pPr>
              <w:spacing w:after="0"/>
              <w:rPr>
                <w:rFonts w:ascii="Arial" w:hAnsi="Arial" w:cs="Arial"/>
                <w:color w:val="000000"/>
                <w:sz w:val="18"/>
                <w:szCs w:val="18"/>
              </w:rPr>
            </w:pPr>
            <w:r>
              <w:rPr>
                <w:rFonts w:ascii="Arial" w:hAnsi="Arial" w:cs="Arial"/>
                <w:color w:val="000000"/>
                <w:sz w:val="18"/>
                <w:szCs w:val="18"/>
              </w:rPr>
              <w:t>spurious emission</w:t>
            </w:r>
          </w:p>
        </w:tc>
        <w:tc>
          <w:tcPr>
            <w:tcW w:w="850" w:type="dxa"/>
          </w:tcPr>
          <w:p>
            <w:pPr>
              <w:pStyle w:val="Default"/>
              <w:jc w:val="center"/>
              <w:rPr>
                <w:sz w:val="18"/>
                <w:szCs w:val="18"/>
              </w:rPr>
            </w:pPr>
            <w:r>
              <w:rPr>
                <w:sz w:val="18"/>
                <w:szCs w:val="18"/>
              </w:rPr>
              <w:t>C001</w:t>
            </w:r>
          </w:p>
        </w:tc>
        <w:tc>
          <w:tcPr>
            <w:tcW w:w="4820" w:type="dxa"/>
          </w:tcPr>
          <w:p>
            <w:pPr>
              <w:pStyle w:val="Default"/>
              <w:rPr>
                <w:sz w:val="18"/>
                <w:szCs w:val="18"/>
              </w:rPr>
            </w:pPr>
            <w:r>
              <w:rPr>
                <w:sz w:val="18"/>
                <w:szCs w:val="18"/>
              </w:rPr>
              <w:t>UEs supporting 5GS FR1</w:t>
            </w:r>
          </w:p>
        </w:tc>
      </w:tr>
    </w:tbl>
    <w:p>
      <w:pPr>
        <w:rPr>
          <w:sz w:val="22"/>
          <w:szCs w:val="22"/>
        </w:rPr>
      </w:pPr>
    </w:p>
    <w:p>
      <w:pPr>
        <w:rPr>
          <w:sz w:val="22"/>
          <w:szCs w:val="22"/>
        </w:rPr>
      </w:pPr>
      <w:r>
        <w:rPr>
          <w:sz w:val="22"/>
          <w:szCs w:val="22"/>
        </w:rPr>
        <w:t>From what is in TS 38.522[2],  all these test cases will be executed for a RedCap UE meeting conditions C001h, C001 and C177.</w:t>
      </w:r>
    </w:p>
    <w:p>
      <w:pPr>
        <w:pStyle w:val="Default"/>
        <w:rPr>
          <w:rFonts w:ascii="Times New Roman" w:hAnsi="Times New Roman" w:cs="Times New Roman"/>
          <w:sz w:val="22"/>
          <w:szCs w:val="22"/>
        </w:rPr>
      </w:pPr>
      <w:r>
        <w:rPr>
          <w:rFonts w:ascii="Times New Roman" w:hAnsi="Times New Roman" w:cs="Times New Roman"/>
          <w:b/>
          <w:bCs/>
          <w:sz w:val="22"/>
          <w:szCs w:val="22"/>
        </w:rPr>
        <w:t>C001h</w:t>
      </w:r>
      <w:r>
        <w:rPr>
          <w:rFonts w:ascii="Times New Roman" w:hAnsi="Times New Roman" w:cs="Times New Roman"/>
          <w:sz w:val="22"/>
          <w:szCs w:val="22"/>
        </w:rPr>
        <w:t xml:space="preserve">: IF (A.4.1-1/1 OR A.4.1-1/2) AND A.4.1-2/7 AND A.4.1-3/1 AND NOT A.4.3.2-1/84 THEN R ELSE N/A </w:t>
      </w:r>
    </w:p>
    <w:p>
      <w:pPr>
        <w:pStyle w:val="Default"/>
        <w:rPr>
          <w:rFonts w:ascii="Times New Roman" w:hAnsi="Times New Roman" w:cs="Times New Roman"/>
          <w:b/>
          <w:bCs/>
          <w:sz w:val="22"/>
          <w:szCs w:val="22"/>
        </w:rPr>
      </w:pPr>
      <w:r>
        <w:rPr>
          <w:rFonts w:ascii="Times New Roman" w:hAnsi="Times New Roman" w:cs="Times New Roman"/>
          <w:sz w:val="22"/>
          <w:szCs w:val="22"/>
        </w:rPr>
        <w:t xml:space="preserve">                </w:t>
      </w:r>
      <w:proofErr w:type="gramStart"/>
      <w:r>
        <w:rPr>
          <w:rFonts w:ascii="Times New Roman" w:hAnsi="Times New Roman" w:cs="Times New Roman"/>
          <w:sz w:val="22"/>
          <w:szCs w:val="22"/>
        </w:rPr>
        <w:t>IF  (</w:t>
      </w:r>
      <w:proofErr w:type="spellStart"/>
      <w:proofErr w:type="gramEnd"/>
      <w:r>
        <w:rPr>
          <w:rFonts w:ascii="Times New Roman" w:hAnsi="Times New Roman" w:cs="Times New Roman"/>
          <w:b/>
          <w:bCs/>
          <w:sz w:val="22"/>
          <w:szCs w:val="22"/>
          <w:highlight w:val="yellow"/>
        </w:rPr>
        <w:t>pc_nrFDD</w:t>
      </w:r>
      <w:proofErr w:type="spellEnd"/>
      <w:r>
        <w:rPr>
          <w:rFonts w:ascii="Times New Roman" w:hAnsi="Times New Roman" w:cs="Times New Roman"/>
          <w:sz w:val="22"/>
          <w:szCs w:val="22"/>
        </w:rPr>
        <w:t xml:space="preserve"> RO </w:t>
      </w:r>
      <w:proofErr w:type="spellStart"/>
      <w:r>
        <w:rPr>
          <w:rFonts w:ascii="Times New Roman" w:hAnsi="Times New Roman" w:cs="Times New Roman"/>
          <w:b/>
          <w:bCs/>
          <w:sz w:val="22"/>
          <w:szCs w:val="22"/>
          <w:highlight w:val="yellow"/>
        </w:rPr>
        <w:t>pc_nrTDD</w:t>
      </w:r>
      <w:proofErr w:type="spellEnd"/>
      <w:r>
        <w:rPr>
          <w:rFonts w:ascii="Times New Roman" w:hAnsi="Times New Roman" w:cs="Times New Roman"/>
          <w:sz w:val="22"/>
          <w:szCs w:val="22"/>
        </w:rPr>
        <w:t xml:space="preserve">) AND </w:t>
      </w:r>
      <w:r>
        <w:rPr>
          <w:rFonts w:ascii="Times New Roman" w:hAnsi="Times New Roman" w:cs="Times New Roman"/>
          <w:b/>
          <w:bCs/>
          <w:sz w:val="22"/>
          <w:szCs w:val="22"/>
          <w:highlight w:val="yellow"/>
        </w:rPr>
        <w:t>pc_nrFR1</w:t>
      </w:r>
      <w:r>
        <w:rPr>
          <w:rFonts w:ascii="Times New Roman" w:hAnsi="Times New Roman" w:cs="Times New Roman"/>
          <w:sz w:val="22"/>
          <w:szCs w:val="22"/>
        </w:rPr>
        <w:t xml:space="preserve"> AND </w:t>
      </w:r>
      <w:proofErr w:type="spellStart"/>
      <w:r>
        <w:rPr>
          <w:rFonts w:ascii="Times New Roman" w:hAnsi="Times New Roman" w:cs="Times New Roman"/>
          <w:b/>
          <w:bCs/>
          <w:sz w:val="22"/>
          <w:szCs w:val="22"/>
          <w:highlight w:val="yellow"/>
        </w:rPr>
        <w:t>pc_NG_RAN_NR</w:t>
      </w:r>
      <w:proofErr w:type="spellEnd"/>
      <w:r>
        <w:rPr>
          <w:rFonts w:ascii="Times New Roman" w:hAnsi="Times New Roman" w:cs="Times New Roman"/>
          <w:b/>
          <w:bCs/>
          <w:sz w:val="22"/>
          <w:szCs w:val="22"/>
        </w:rPr>
        <w:t xml:space="preserve"> </w:t>
      </w:r>
      <w:r>
        <w:rPr>
          <w:rFonts w:ascii="Times New Roman" w:hAnsi="Times New Roman" w:cs="Times New Roman"/>
          <w:sz w:val="22"/>
          <w:szCs w:val="22"/>
        </w:rPr>
        <w:t xml:space="preserve">AND </w:t>
      </w:r>
      <w:r>
        <w:rPr>
          <w:rFonts w:ascii="Times New Roman" w:hAnsi="Times New Roman" w:cs="Times New Roman"/>
          <w:color w:val="FF0000"/>
          <w:sz w:val="22"/>
          <w:szCs w:val="22"/>
        </w:rPr>
        <w:t>NOT</w:t>
      </w:r>
      <w:r>
        <w:rPr>
          <w:rFonts w:ascii="Times New Roman" w:hAnsi="Times New Roman" w:cs="Times New Roman"/>
          <w:b/>
          <w:bCs/>
          <w:color w:val="FF0000"/>
          <w:sz w:val="22"/>
          <w:szCs w:val="22"/>
        </w:rPr>
        <w:t xml:space="preserve">  </w:t>
      </w:r>
      <w:r>
        <w:rPr>
          <w:rFonts w:ascii="Times New Roman" w:hAnsi="Times New Roman" w:cs="Times New Roman"/>
          <w:b/>
          <w:bCs/>
          <w:sz w:val="22"/>
          <w:szCs w:val="22"/>
          <w:highlight w:val="yellow"/>
        </w:rPr>
        <w:t>pc_txDiversity_r16</w:t>
      </w:r>
    </w:p>
    <w:p>
      <w:pPr>
        <w:pStyle w:val="Default"/>
        <w:rPr>
          <w:rFonts w:ascii="Times New Roman" w:hAnsi="Times New Roman" w:cs="Times New Roman"/>
          <w:b/>
          <w:bCs/>
          <w:sz w:val="22"/>
          <w:szCs w:val="22"/>
        </w:rPr>
      </w:pPr>
    </w:p>
    <w:p>
      <w:pPr>
        <w:pStyle w:val="Default"/>
        <w:rPr>
          <w:rFonts w:ascii="Times New Roman" w:hAnsi="Times New Roman" w:cs="Times New Roman"/>
          <w:sz w:val="22"/>
          <w:szCs w:val="22"/>
        </w:rPr>
      </w:pPr>
      <w:r>
        <w:rPr>
          <w:rFonts w:ascii="Times New Roman" w:hAnsi="Times New Roman" w:cs="Times New Roman"/>
          <w:b/>
          <w:bCs/>
          <w:sz w:val="22"/>
          <w:szCs w:val="22"/>
        </w:rPr>
        <w:t xml:space="preserve">C001   </w:t>
      </w:r>
      <w:r>
        <w:rPr>
          <w:rFonts w:ascii="Times New Roman" w:hAnsi="Times New Roman" w:cs="Times New Roman"/>
          <w:sz w:val="22"/>
          <w:szCs w:val="22"/>
        </w:rPr>
        <w:t>IF (A.4.1-1/1 OR A.4.1-1/2) AND A.4.1-2/7 AND A.4.1-3/1 THEN R ELSE N/A</w:t>
      </w:r>
    </w:p>
    <w:p>
      <w:pPr>
        <w:pStyle w:val="Default"/>
        <w:rPr>
          <w:rFonts w:ascii="Times New Roman" w:hAnsi="Times New Roman" w:cs="Times New Roman"/>
          <w:sz w:val="22"/>
          <w:szCs w:val="22"/>
        </w:rPr>
      </w:pPr>
      <w:r>
        <w:rPr>
          <w:rFonts w:ascii="Times New Roman" w:hAnsi="Times New Roman" w:cs="Times New Roman"/>
          <w:sz w:val="22"/>
          <w:szCs w:val="22"/>
        </w:rPr>
        <w:t xml:space="preserve">              IF (</w:t>
      </w:r>
      <w:proofErr w:type="spellStart"/>
      <w:r>
        <w:rPr>
          <w:rFonts w:ascii="Times New Roman" w:hAnsi="Times New Roman" w:cs="Times New Roman"/>
          <w:b/>
          <w:bCs/>
          <w:sz w:val="22"/>
          <w:szCs w:val="22"/>
          <w:highlight w:val="yellow"/>
        </w:rPr>
        <w:t>pc_nrFDD</w:t>
      </w:r>
      <w:proofErr w:type="spellEnd"/>
      <w:r>
        <w:rPr>
          <w:rFonts w:ascii="Times New Roman" w:hAnsi="Times New Roman" w:cs="Times New Roman"/>
          <w:sz w:val="22"/>
          <w:szCs w:val="22"/>
        </w:rPr>
        <w:t xml:space="preserve"> RO </w:t>
      </w:r>
      <w:proofErr w:type="spellStart"/>
      <w:r>
        <w:rPr>
          <w:rFonts w:ascii="Times New Roman" w:hAnsi="Times New Roman" w:cs="Times New Roman"/>
          <w:b/>
          <w:bCs/>
          <w:sz w:val="22"/>
          <w:szCs w:val="22"/>
          <w:highlight w:val="yellow"/>
        </w:rPr>
        <w:t>pc_nrTDD</w:t>
      </w:r>
      <w:proofErr w:type="spellEnd"/>
      <w:r>
        <w:rPr>
          <w:rFonts w:ascii="Times New Roman" w:hAnsi="Times New Roman" w:cs="Times New Roman"/>
          <w:sz w:val="22"/>
          <w:szCs w:val="22"/>
        </w:rPr>
        <w:t xml:space="preserve">) AND </w:t>
      </w:r>
      <w:r>
        <w:rPr>
          <w:rFonts w:ascii="Times New Roman" w:hAnsi="Times New Roman" w:cs="Times New Roman"/>
          <w:b/>
          <w:bCs/>
          <w:sz w:val="22"/>
          <w:szCs w:val="22"/>
          <w:highlight w:val="yellow"/>
        </w:rPr>
        <w:t>pc_nrFR1</w:t>
      </w:r>
      <w:r>
        <w:rPr>
          <w:rFonts w:ascii="Times New Roman" w:hAnsi="Times New Roman" w:cs="Times New Roman"/>
          <w:sz w:val="22"/>
          <w:szCs w:val="22"/>
        </w:rPr>
        <w:t xml:space="preserve"> AND </w:t>
      </w:r>
      <w:proofErr w:type="spellStart"/>
      <w:r>
        <w:rPr>
          <w:rFonts w:ascii="Times New Roman" w:hAnsi="Times New Roman" w:cs="Times New Roman"/>
          <w:b/>
          <w:bCs/>
          <w:sz w:val="22"/>
          <w:szCs w:val="22"/>
          <w:highlight w:val="yellow"/>
        </w:rPr>
        <w:t>pc_NG</w:t>
      </w:r>
      <w:proofErr w:type="spellEnd"/>
      <w:r>
        <w:rPr>
          <w:rFonts w:ascii="Times New Roman" w:hAnsi="Times New Roman" w:cs="Times New Roman"/>
          <w:b/>
          <w:bCs/>
          <w:sz w:val="22"/>
          <w:szCs w:val="22"/>
        </w:rPr>
        <w:t xml:space="preserve"> </w:t>
      </w:r>
      <w:r>
        <w:rPr>
          <w:rFonts w:ascii="Times New Roman" w:hAnsi="Times New Roman" w:cs="Times New Roman"/>
          <w:sz w:val="22"/>
          <w:szCs w:val="22"/>
        </w:rPr>
        <w:t>THEN R ELSE N/A</w:t>
      </w:r>
    </w:p>
    <w:p>
      <w:pPr>
        <w:pStyle w:val="Default"/>
        <w:rPr>
          <w:rFonts w:ascii="Times New Roman" w:hAnsi="Times New Roman" w:cs="Times New Roman"/>
          <w:b/>
          <w:bCs/>
          <w:sz w:val="22"/>
          <w:szCs w:val="22"/>
        </w:rPr>
      </w:pPr>
    </w:p>
    <w:p>
      <w:pPr>
        <w:pStyle w:val="Default"/>
        <w:rPr>
          <w:rFonts w:ascii="Times New Roman" w:hAnsi="Times New Roman" w:cs="Times New Roman"/>
          <w:sz w:val="22"/>
          <w:szCs w:val="22"/>
        </w:rPr>
      </w:pPr>
      <w:r>
        <w:rPr>
          <w:rFonts w:ascii="Times New Roman" w:hAnsi="Times New Roman" w:cs="Times New Roman"/>
          <w:b/>
          <w:bCs/>
          <w:sz w:val="22"/>
          <w:szCs w:val="22"/>
        </w:rPr>
        <w:t xml:space="preserve">C177 </w:t>
      </w:r>
      <w:r>
        <w:rPr>
          <w:rFonts w:ascii="Times New Roman" w:hAnsi="Times New Roman" w:cs="Times New Roman"/>
          <w:sz w:val="22"/>
          <w:szCs w:val="22"/>
        </w:rPr>
        <w:t xml:space="preserve">IF (A.4.1-1/1 OR A.4.1-1/2) AND A.4.1-2/7 AND A.4.1-3/1 AND A.4.3.12-1/2 THEN R ELSE N/A </w:t>
      </w:r>
    </w:p>
    <w:p>
      <w:pPr>
        <w:pStyle w:val="Default"/>
        <w:rPr>
          <w:sz w:val="22"/>
          <w:szCs w:val="22"/>
        </w:rPr>
      </w:pPr>
    </w:p>
    <w:p>
      <w:pPr>
        <w:rPr>
          <w:sz w:val="22"/>
          <w:szCs w:val="22"/>
        </w:rPr>
      </w:pPr>
      <w:r>
        <w:rPr>
          <w:b/>
          <w:bCs/>
          <w:sz w:val="22"/>
          <w:szCs w:val="22"/>
        </w:rPr>
        <w:t>C177</w:t>
      </w:r>
      <w:r>
        <w:rPr>
          <w:sz w:val="22"/>
          <w:szCs w:val="22"/>
        </w:rPr>
        <w:t xml:space="preserve"> = IF ( </w:t>
      </w:r>
      <w:proofErr w:type="spellStart"/>
      <w:r>
        <w:rPr>
          <w:b/>
          <w:bCs/>
          <w:sz w:val="22"/>
          <w:szCs w:val="22"/>
        </w:rPr>
        <w:t>pc_nrFDD</w:t>
      </w:r>
      <w:proofErr w:type="spellEnd"/>
      <w:r>
        <w:rPr>
          <w:sz w:val="22"/>
          <w:szCs w:val="22"/>
        </w:rPr>
        <w:t xml:space="preserve"> OR </w:t>
      </w:r>
      <w:proofErr w:type="spellStart"/>
      <w:r>
        <w:rPr>
          <w:b/>
          <w:bCs/>
          <w:sz w:val="22"/>
          <w:szCs w:val="22"/>
        </w:rPr>
        <w:t>pc_nrTDD</w:t>
      </w:r>
      <w:proofErr w:type="spellEnd"/>
      <w:r>
        <w:rPr>
          <w:sz w:val="22"/>
          <w:szCs w:val="22"/>
        </w:rPr>
        <w:t xml:space="preserve">) AND </w:t>
      </w:r>
      <w:r>
        <w:rPr>
          <w:b/>
          <w:bCs/>
          <w:sz w:val="22"/>
          <w:szCs w:val="22"/>
        </w:rPr>
        <w:t>pc_nrFR1</w:t>
      </w:r>
      <w:r>
        <w:rPr>
          <w:sz w:val="22"/>
          <w:szCs w:val="22"/>
        </w:rPr>
        <w:t xml:space="preserve"> AND </w:t>
      </w:r>
      <w:proofErr w:type="spellStart"/>
      <w:r>
        <w:rPr>
          <w:b/>
          <w:bCs/>
          <w:sz w:val="22"/>
          <w:szCs w:val="22"/>
        </w:rPr>
        <w:t>pc_NG_RAN_NR</w:t>
      </w:r>
      <w:proofErr w:type="spellEnd"/>
      <w:r>
        <w:rPr>
          <w:sz w:val="22"/>
          <w:szCs w:val="22"/>
        </w:rPr>
        <w:t xml:space="preserve"> AND </w:t>
      </w:r>
      <w:r>
        <w:rPr>
          <w:b/>
          <w:bCs/>
          <w:sz w:val="22"/>
          <w:szCs w:val="22"/>
          <w:highlight w:val="yellow"/>
        </w:rPr>
        <w:t>pc_supportOfRedCap_r17</w:t>
      </w:r>
    </w:p>
    <w:p>
      <w:pPr>
        <w:rPr>
          <w:sz w:val="22"/>
          <w:szCs w:val="22"/>
        </w:rPr>
      </w:pPr>
      <w:r>
        <w:rPr>
          <w:sz w:val="22"/>
          <w:szCs w:val="22"/>
          <w:lang w:val="en-US"/>
        </w:rPr>
        <w:t xml:space="preserve">Clearly both test cases 7.3.2 and 7.3I2 will be executed for </w:t>
      </w:r>
      <w:proofErr w:type="spellStart"/>
      <w:r>
        <w:rPr>
          <w:sz w:val="22"/>
          <w:szCs w:val="22"/>
          <w:lang w:val="en-US"/>
        </w:rPr>
        <w:t>RedCap</w:t>
      </w:r>
      <w:proofErr w:type="spellEnd"/>
      <w:r>
        <w:rPr>
          <w:sz w:val="22"/>
          <w:szCs w:val="22"/>
          <w:lang w:val="en-US"/>
        </w:rPr>
        <w:t xml:space="preserve"> enabled UE with </w:t>
      </w:r>
      <w:r>
        <w:rPr>
          <w:b/>
          <w:bCs/>
          <w:sz w:val="22"/>
          <w:szCs w:val="22"/>
          <w:highlight w:val="yellow"/>
        </w:rPr>
        <w:t>pc_supportOfRedCap_r17</w:t>
      </w:r>
      <w:r>
        <w:rPr>
          <w:b/>
          <w:bCs/>
          <w:sz w:val="22"/>
          <w:szCs w:val="22"/>
        </w:rPr>
        <w:t xml:space="preserve">. </w:t>
      </w:r>
      <w:r>
        <w:rPr>
          <w:sz w:val="22"/>
          <w:szCs w:val="22"/>
        </w:rPr>
        <w:t>The test condition shall be modified to exclude 7.3.2 test case.</w:t>
      </w:r>
    </w:p>
    <w:p>
      <w:pPr>
        <w:rPr>
          <w:sz w:val="22"/>
          <w:szCs w:val="22"/>
          <w:lang w:val="en-US"/>
        </w:rPr>
      </w:pPr>
      <w:r>
        <w:rPr>
          <w:sz w:val="22"/>
          <w:szCs w:val="22"/>
          <w:lang w:val="en-US"/>
        </w:rPr>
        <w:t>The proposed test condition:</w:t>
      </w:r>
    </w:p>
    <w:p>
      <w:pPr>
        <w:pStyle w:val="Default"/>
        <w:rPr>
          <w:rFonts w:ascii="Times New Roman" w:hAnsi="Times New Roman" w:cs="Times New Roman"/>
          <w:sz w:val="22"/>
          <w:szCs w:val="22"/>
        </w:rPr>
      </w:pPr>
      <w:r>
        <w:rPr>
          <w:rFonts w:ascii="Times New Roman" w:hAnsi="Times New Roman" w:cs="Times New Roman"/>
          <w:b/>
          <w:bCs/>
          <w:sz w:val="22"/>
          <w:szCs w:val="22"/>
        </w:rPr>
        <w:t>C001x</w:t>
      </w:r>
      <w:r>
        <w:rPr>
          <w:rFonts w:ascii="Times New Roman" w:hAnsi="Times New Roman" w:cs="Times New Roman"/>
          <w:sz w:val="22"/>
          <w:szCs w:val="22"/>
        </w:rPr>
        <w:t xml:space="preserve">: IF (A.4.1-1/1 OR A.4.1-1/2) AND A.4.1-2/7 AND A.4.1-3/1 AND NOT (A.4.3.2-1/84 </w:t>
      </w:r>
      <w:r>
        <w:rPr>
          <w:rFonts w:ascii="Times New Roman" w:hAnsi="Times New Roman" w:cs="Times New Roman"/>
          <w:b/>
          <w:bCs/>
          <w:sz w:val="22"/>
          <w:szCs w:val="22"/>
        </w:rPr>
        <w:t>OR A.4.3.12-1/2</w:t>
      </w:r>
      <w:r>
        <w:rPr>
          <w:rFonts w:ascii="Times New Roman" w:hAnsi="Times New Roman" w:cs="Times New Roman"/>
          <w:sz w:val="22"/>
          <w:szCs w:val="22"/>
        </w:rPr>
        <w:t xml:space="preserve">) THEN R ELSE N/A </w:t>
      </w:r>
    </w:p>
    <w:p>
      <w:pPr>
        <w:pStyle w:val="Default"/>
        <w:rPr>
          <w:rFonts w:ascii="Times New Roman" w:hAnsi="Times New Roman" w:cs="Times New Roman"/>
          <w:b/>
          <w:bCs/>
          <w:sz w:val="22"/>
          <w:szCs w:val="22"/>
        </w:rPr>
      </w:pPr>
      <w:r>
        <w:rPr>
          <w:rFonts w:ascii="Times New Roman" w:hAnsi="Times New Roman" w:cs="Times New Roman"/>
          <w:sz w:val="22"/>
          <w:szCs w:val="22"/>
        </w:rPr>
        <w:t xml:space="preserve">                </w:t>
      </w:r>
      <w:proofErr w:type="gramStart"/>
      <w:r>
        <w:rPr>
          <w:rFonts w:ascii="Times New Roman" w:hAnsi="Times New Roman" w:cs="Times New Roman"/>
          <w:sz w:val="22"/>
          <w:szCs w:val="22"/>
        </w:rPr>
        <w:t>IF  (</w:t>
      </w:r>
      <w:proofErr w:type="spellStart"/>
      <w:proofErr w:type="gramEnd"/>
      <w:r>
        <w:rPr>
          <w:rFonts w:ascii="Times New Roman" w:hAnsi="Times New Roman" w:cs="Times New Roman"/>
          <w:b/>
          <w:bCs/>
          <w:sz w:val="22"/>
          <w:szCs w:val="22"/>
          <w:highlight w:val="yellow"/>
        </w:rPr>
        <w:t>pc_nrFDD</w:t>
      </w:r>
      <w:proofErr w:type="spellEnd"/>
      <w:r>
        <w:rPr>
          <w:rFonts w:ascii="Times New Roman" w:hAnsi="Times New Roman" w:cs="Times New Roman"/>
          <w:sz w:val="22"/>
          <w:szCs w:val="22"/>
        </w:rPr>
        <w:t xml:space="preserve"> RO </w:t>
      </w:r>
      <w:proofErr w:type="spellStart"/>
      <w:r>
        <w:rPr>
          <w:rFonts w:ascii="Times New Roman" w:hAnsi="Times New Roman" w:cs="Times New Roman"/>
          <w:b/>
          <w:bCs/>
          <w:sz w:val="22"/>
          <w:szCs w:val="22"/>
          <w:highlight w:val="yellow"/>
        </w:rPr>
        <w:t>pc_nrTDD</w:t>
      </w:r>
      <w:proofErr w:type="spellEnd"/>
      <w:r>
        <w:rPr>
          <w:rFonts w:ascii="Times New Roman" w:hAnsi="Times New Roman" w:cs="Times New Roman"/>
          <w:sz w:val="22"/>
          <w:szCs w:val="22"/>
        </w:rPr>
        <w:t xml:space="preserve">) AND </w:t>
      </w:r>
      <w:r>
        <w:rPr>
          <w:rFonts w:ascii="Times New Roman" w:hAnsi="Times New Roman" w:cs="Times New Roman"/>
          <w:b/>
          <w:bCs/>
          <w:sz w:val="22"/>
          <w:szCs w:val="22"/>
          <w:highlight w:val="yellow"/>
        </w:rPr>
        <w:t>pc_nrFR1</w:t>
      </w:r>
      <w:r>
        <w:rPr>
          <w:rFonts w:ascii="Times New Roman" w:hAnsi="Times New Roman" w:cs="Times New Roman"/>
          <w:sz w:val="22"/>
          <w:szCs w:val="22"/>
        </w:rPr>
        <w:t xml:space="preserve"> AND </w:t>
      </w:r>
      <w:proofErr w:type="spellStart"/>
      <w:r>
        <w:rPr>
          <w:rFonts w:ascii="Times New Roman" w:hAnsi="Times New Roman" w:cs="Times New Roman"/>
          <w:b/>
          <w:bCs/>
          <w:sz w:val="22"/>
          <w:szCs w:val="22"/>
          <w:highlight w:val="yellow"/>
        </w:rPr>
        <w:t>pc_NG_RAN_NR</w:t>
      </w:r>
      <w:proofErr w:type="spellEnd"/>
      <w:r>
        <w:rPr>
          <w:rFonts w:ascii="Times New Roman" w:hAnsi="Times New Roman" w:cs="Times New Roman"/>
          <w:b/>
          <w:bCs/>
          <w:sz w:val="22"/>
          <w:szCs w:val="22"/>
        </w:rPr>
        <w:t xml:space="preserve"> </w:t>
      </w:r>
      <w:r>
        <w:rPr>
          <w:rFonts w:ascii="Times New Roman" w:hAnsi="Times New Roman" w:cs="Times New Roman"/>
          <w:sz w:val="22"/>
          <w:szCs w:val="22"/>
        </w:rPr>
        <w:t xml:space="preserve">AND </w:t>
      </w:r>
      <w:r>
        <w:rPr>
          <w:rFonts w:ascii="Times New Roman" w:hAnsi="Times New Roman" w:cs="Times New Roman"/>
          <w:color w:val="FF0000"/>
          <w:sz w:val="22"/>
          <w:szCs w:val="22"/>
        </w:rPr>
        <w:t>NOT</w:t>
      </w:r>
      <w:r>
        <w:rPr>
          <w:rFonts w:ascii="Times New Roman" w:hAnsi="Times New Roman" w:cs="Times New Roman"/>
          <w:b/>
          <w:bCs/>
          <w:color w:val="FF0000"/>
          <w:sz w:val="22"/>
          <w:szCs w:val="22"/>
        </w:rPr>
        <w:t xml:space="preserve"> ( </w:t>
      </w:r>
      <w:r>
        <w:rPr>
          <w:rFonts w:ascii="Times New Roman" w:hAnsi="Times New Roman" w:cs="Times New Roman"/>
          <w:b/>
          <w:bCs/>
          <w:sz w:val="22"/>
          <w:szCs w:val="22"/>
          <w:highlight w:val="yellow"/>
        </w:rPr>
        <w:t>pc_txDiversity_r16</w:t>
      </w:r>
      <w:r>
        <w:rPr>
          <w:rFonts w:ascii="Times New Roman" w:hAnsi="Times New Roman" w:cs="Times New Roman"/>
          <w:b/>
          <w:bCs/>
          <w:sz w:val="22"/>
          <w:szCs w:val="22"/>
        </w:rPr>
        <w:t xml:space="preserve"> OR </w:t>
      </w:r>
      <w:r>
        <w:rPr>
          <w:rFonts w:ascii="Times New Roman" w:hAnsi="Times New Roman" w:cs="Times New Roman"/>
          <w:b/>
          <w:bCs/>
          <w:sz w:val="22"/>
          <w:szCs w:val="22"/>
          <w:highlight w:val="yellow"/>
        </w:rPr>
        <w:t>pc_supportOfRedCap_r17</w:t>
      </w:r>
      <w:r>
        <w:rPr>
          <w:rFonts w:ascii="Times New Roman" w:hAnsi="Times New Roman" w:cs="Times New Roman"/>
          <w:b/>
          <w:bCs/>
          <w:sz w:val="22"/>
          <w:szCs w:val="22"/>
        </w:rPr>
        <w:t>)</w:t>
      </w:r>
    </w:p>
    <w:p>
      <w:pPr>
        <w:spacing w:after="0"/>
        <w:rPr>
          <w:b/>
          <w:bCs/>
          <w:sz w:val="22"/>
          <w:szCs w:val="22"/>
        </w:rPr>
      </w:pPr>
    </w:p>
    <w:p>
      <w:pPr>
        <w:rPr>
          <w:b/>
          <w:bCs/>
          <w:sz w:val="24"/>
          <w:szCs w:val="24"/>
          <w:lang w:val="en-US"/>
        </w:rPr>
      </w:pPr>
    </w:p>
    <w:p>
      <w:pPr>
        <w:pStyle w:val="Heading2"/>
        <w:rPr>
          <w:sz w:val="28"/>
          <w:szCs w:val="28"/>
        </w:rPr>
      </w:pPr>
      <w:r>
        <w:rPr>
          <w:sz w:val="28"/>
          <w:szCs w:val="28"/>
        </w:rPr>
        <w:t xml:space="preserve">2.2 </w:t>
      </w:r>
      <w:r>
        <w:rPr>
          <w:rFonts w:eastAsia="Batang"/>
          <w:sz w:val="28"/>
          <w:szCs w:val="28"/>
        </w:rPr>
        <w:t>RedCap Transmitter RF test cases</w:t>
      </w:r>
    </w:p>
    <w:p>
      <w:pPr>
        <w:rPr>
          <w:sz w:val="22"/>
          <w:szCs w:val="22"/>
        </w:rPr>
      </w:pPr>
      <w:r>
        <w:rPr>
          <w:sz w:val="22"/>
          <w:szCs w:val="22"/>
        </w:rPr>
        <w:t>Comparing to section 7 receiver testing, transmitter testing requirement doesn’t have an equivalent of general statement applying to RedCap UE. Only subclause 6.2I has specifically defined RedCap test requirement for MOP, UE maximum output power reduction, UE additional maximum output power reduction, and configured transmitted power for RedCap UEs.  There is no guideline as what other transmitter test cases shall be included for RedCapp UE testing other than a generic clause suffix definition in subclause 4.3 of TS 38.101-1 [3]. UE PICS will be used to determine which test case shall apply to RedCap based on the defined test condition for each test case in 38.522.</w:t>
      </w:r>
    </w:p>
    <w:p>
      <w:pPr>
        <w:rPr>
          <w:sz w:val="22"/>
          <w:szCs w:val="22"/>
        </w:rPr>
      </w:pPr>
      <w:r>
        <w:rPr>
          <w:sz w:val="22"/>
          <w:szCs w:val="22"/>
        </w:rPr>
        <w:t xml:space="preserve">Below is a list of test cases which will be executed if a UE support </w:t>
      </w:r>
      <w:r>
        <w:rPr>
          <w:b/>
          <w:bCs/>
          <w:sz w:val="24"/>
          <w:szCs w:val="24"/>
          <w:highlight w:val="yellow"/>
        </w:rPr>
        <w:t>pc_supportOfRedCap_r17</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32"/>
        <w:gridCol w:w="3316"/>
        <w:gridCol w:w="950"/>
        <w:gridCol w:w="4436"/>
      </w:tblGrid>
      <w:tr>
        <w:trPr>
          <w:trHeight w:val="260"/>
          <w:jc w:val="center"/>
        </w:trPr>
        <w:tc>
          <w:tcPr>
            <w:tcW w:w="932" w:type="dxa"/>
            <w:tcMar>
              <w:top w:w="0" w:type="dxa"/>
              <w:left w:w="108" w:type="dxa"/>
              <w:bottom w:w="0" w:type="dxa"/>
              <w:right w:w="108" w:type="dxa"/>
            </w:tcMar>
            <w:vAlign w:val="center"/>
          </w:tcPr>
          <w:p>
            <w:pPr>
              <w:spacing w:after="0"/>
              <w:rPr>
                <w:rFonts w:ascii="Arial" w:hAnsi="Arial" w:cs="Arial"/>
                <w:color w:val="000000"/>
                <w:sz w:val="18"/>
                <w:szCs w:val="18"/>
              </w:rPr>
            </w:pPr>
          </w:p>
        </w:tc>
        <w:tc>
          <w:tcPr>
            <w:tcW w:w="3316" w:type="dxa"/>
            <w:noWrap/>
            <w:tcMar>
              <w:top w:w="0" w:type="dxa"/>
              <w:left w:w="108" w:type="dxa"/>
              <w:bottom w:w="0" w:type="dxa"/>
              <w:right w:w="108" w:type="dxa"/>
            </w:tcMar>
            <w:vAlign w:val="center"/>
          </w:tcPr>
          <w:p>
            <w:pPr>
              <w:spacing w:after="0"/>
              <w:rPr>
                <w:rFonts w:ascii="Arial" w:hAnsi="Arial" w:cs="Arial"/>
                <w:b/>
                <w:bCs/>
                <w:color w:val="000000"/>
                <w:sz w:val="18"/>
                <w:szCs w:val="18"/>
              </w:rPr>
            </w:pPr>
            <w:r>
              <w:rPr>
                <w:rFonts w:ascii="Arial" w:hAnsi="Arial" w:cs="Arial"/>
                <w:b/>
                <w:bCs/>
                <w:color w:val="000000"/>
                <w:sz w:val="18"/>
                <w:szCs w:val="18"/>
              </w:rPr>
              <w:t>Test case</w:t>
            </w:r>
          </w:p>
        </w:tc>
        <w:tc>
          <w:tcPr>
            <w:tcW w:w="861" w:type="dxa"/>
          </w:tcPr>
          <w:p>
            <w:pPr>
              <w:spacing w:after="0"/>
              <w:rPr>
                <w:rFonts w:ascii="Arial" w:hAnsi="Arial" w:cs="Arial"/>
                <w:b/>
                <w:bCs/>
                <w:color w:val="000000"/>
                <w:sz w:val="18"/>
                <w:szCs w:val="18"/>
              </w:rPr>
            </w:pPr>
            <w:r>
              <w:rPr>
                <w:rFonts w:ascii="Arial" w:hAnsi="Arial" w:cs="Arial"/>
                <w:b/>
                <w:bCs/>
                <w:color w:val="000000"/>
                <w:sz w:val="18"/>
                <w:szCs w:val="18"/>
              </w:rPr>
              <w:t>Conditions</w:t>
            </w:r>
          </w:p>
        </w:tc>
        <w:tc>
          <w:tcPr>
            <w:tcW w:w="4525" w:type="dxa"/>
          </w:tcPr>
          <w:p>
            <w:pPr>
              <w:spacing w:after="0"/>
              <w:rPr>
                <w:rFonts w:ascii="Arial" w:hAnsi="Arial" w:cs="Arial"/>
                <w:color w:val="000000"/>
                <w:sz w:val="18"/>
                <w:szCs w:val="18"/>
              </w:rPr>
            </w:pPr>
          </w:p>
        </w:tc>
      </w:tr>
      <w:tr>
        <w:trPr>
          <w:trHeight w:val="260"/>
          <w:jc w:val="center"/>
        </w:trPr>
        <w:tc>
          <w:tcPr>
            <w:tcW w:w="932" w:type="dxa"/>
            <w:tcMar>
              <w:top w:w="0" w:type="dxa"/>
              <w:left w:w="108" w:type="dxa"/>
              <w:bottom w:w="0" w:type="dxa"/>
              <w:right w:w="108" w:type="dxa"/>
            </w:tcMar>
            <w:vAlign w:val="center"/>
          </w:tcPr>
          <w:p>
            <w:pPr>
              <w:spacing w:after="0"/>
              <w:rPr>
                <w:rFonts w:ascii="Arial" w:hAnsi="Arial" w:cs="Arial"/>
                <w:color w:val="000000"/>
                <w:sz w:val="18"/>
                <w:szCs w:val="18"/>
              </w:rPr>
            </w:pPr>
            <w:r>
              <w:rPr>
                <w:rFonts w:ascii="Arial" w:hAnsi="Arial" w:cs="Arial"/>
                <w:color w:val="000000"/>
                <w:sz w:val="18"/>
                <w:szCs w:val="18"/>
              </w:rPr>
              <w:t>6.2I1</w:t>
            </w:r>
          </w:p>
        </w:tc>
        <w:tc>
          <w:tcPr>
            <w:tcW w:w="3316" w:type="dxa"/>
            <w:noWrap/>
            <w:tcMar>
              <w:top w:w="0" w:type="dxa"/>
              <w:left w:w="108" w:type="dxa"/>
              <w:bottom w:w="0" w:type="dxa"/>
              <w:right w:w="108" w:type="dxa"/>
            </w:tcMar>
            <w:vAlign w:val="center"/>
          </w:tcPr>
          <w:p>
            <w:pPr>
              <w:spacing w:after="0"/>
              <w:rPr>
                <w:rFonts w:ascii="Arial" w:hAnsi="Arial" w:cs="Arial"/>
                <w:color w:val="000000"/>
                <w:sz w:val="18"/>
                <w:szCs w:val="18"/>
              </w:rPr>
            </w:pPr>
            <w:r>
              <w:rPr>
                <w:rFonts w:ascii="Arial" w:hAnsi="Arial" w:cs="Arial"/>
                <w:color w:val="000000"/>
                <w:sz w:val="18"/>
                <w:szCs w:val="18"/>
              </w:rPr>
              <w:t>UE maximum output power for RedCap</w:t>
            </w:r>
          </w:p>
        </w:tc>
        <w:tc>
          <w:tcPr>
            <w:tcW w:w="861" w:type="dxa"/>
          </w:tcPr>
          <w:p>
            <w:pPr>
              <w:pStyle w:val="Default"/>
              <w:rPr>
                <w:sz w:val="18"/>
                <w:szCs w:val="18"/>
              </w:rPr>
            </w:pPr>
            <w:r>
              <w:rPr>
                <w:sz w:val="18"/>
                <w:szCs w:val="18"/>
              </w:rPr>
              <w:t xml:space="preserve">C177 </w:t>
            </w:r>
          </w:p>
        </w:tc>
        <w:tc>
          <w:tcPr>
            <w:tcW w:w="4525" w:type="dxa"/>
          </w:tcPr>
          <w:p>
            <w:pPr>
              <w:pStyle w:val="Default"/>
              <w:rPr>
                <w:sz w:val="18"/>
                <w:szCs w:val="18"/>
              </w:rPr>
            </w:pPr>
            <w:proofErr w:type="spellStart"/>
            <w:r>
              <w:rPr>
                <w:sz w:val="18"/>
                <w:szCs w:val="18"/>
              </w:rPr>
              <w:t>RedCap</w:t>
            </w:r>
            <w:proofErr w:type="spellEnd"/>
            <w:r>
              <w:rPr>
                <w:sz w:val="18"/>
                <w:szCs w:val="18"/>
              </w:rPr>
              <w:t xml:space="preserve"> UEs supporting 5GS FR1 </w:t>
            </w:r>
          </w:p>
          <w:p>
            <w:pPr>
              <w:pStyle w:val="Default"/>
              <w:rPr>
                <w:sz w:val="18"/>
                <w:szCs w:val="18"/>
              </w:rPr>
            </w:pPr>
          </w:p>
        </w:tc>
      </w:tr>
      <w:tr>
        <w:trPr>
          <w:trHeight w:val="260"/>
          <w:jc w:val="center"/>
        </w:trPr>
        <w:tc>
          <w:tcPr>
            <w:tcW w:w="932" w:type="dxa"/>
            <w:tcMar>
              <w:top w:w="0" w:type="dxa"/>
              <w:left w:w="108" w:type="dxa"/>
              <w:bottom w:w="0" w:type="dxa"/>
              <w:right w:w="108" w:type="dxa"/>
            </w:tcMar>
            <w:vAlign w:val="center"/>
          </w:tcPr>
          <w:p>
            <w:pPr>
              <w:spacing w:after="0"/>
              <w:rPr>
                <w:rFonts w:ascii="Arial" w:hAnsi="Arial" w:cs="Arial"/>
                <w:color w:val="000000"/>
                <w:sz w:val="18"/>
                <w:szCs w:val="18"/>
              </w:rPr>
            </w:pPr>
            <w:r>
              <w:rPr>
                <w:rFonts w:ascii="Arial" w:hAnsi="Arial" w:cs="Arial"/>
                <w:color w:val="000000"/>
                <w:sz w:val="18"/>
                <w:szCs w:val="18"/>
              </w:rPr>
              <w:t>6.2I.2</w:t>
            </w:r>
          </w:p>
        </w:tc>
        <w:tc>
          <w:tcPr>
            <w:tcW w:w="3316" w:type="dxa"/>
            <w:noWrap/>
            <w:tcMar>
              <w:top w:w="0" w:type="dxa"/>
              <w:left w:w="108" w:type="dxa"/>
              <w:bottom w:w="0" w:type="dxa"/>
              <w:right w:w="108" w:type="dxa"/>
            </w:tcMar>
            <w:vAlign w:val="center"/>
          </w:tcPr>
          <w:p>
            <w:pPr>
              <w:spacing w:after="0"/>
              <w:rPr>
                <w:rFonts w:ascii="Arial" w:hAnsi="Arial" w:cs="Arial"/>
                <w:color w:val="000000"/>
                <w:sz w:val="18"/>
                <w:szCs w:val="18"/>
              </w:rPr>
            </w:pPr>
            <w:r>
              <w:rPr>
                <w:rFonts w:ascii="Arial" w:hAnsi="Arial" w:cs="Arial"/>
                <w:color w:val="000000"/>
                <w:sz w:val="18"/>
                <w:szCs w:val="18"/>
              </w:rPr>
              <w:t>UE maximum output power reduction for RedCap</w:t>
            </w:r>
          </w:p>
        </w:tc>
        <w:tc>
          <w:tcPr>
            <w:tcW w:w="861" w:type="dxa"/>
          </w:tcPr>
          <w:p>
            <w:pPr>
              <w:spacing w:after="0"/>
              <w:rPr>
                <w:rFonts w:ascii="Arial" w:hAnsi="Arial" w:cs="Arial"/>
                <w:color w:val="000000"/>
                <w:sz w:val="18"/>
                <w:szCs w:val="18"/>
              </w:rPr>
            </w:pPr>
            <w:r>
              <w:rPr>
                <w:sz w:val="18"/>
                <w:szCs w:val="18"/>
              </w:rPr>
              <w:t>C177</w:t>
            </w:r>
          </w:p>
        </w:tc>
        <w:tc>
          <w:tcPr>
            <w:tcW w:w="4525" w:type="dxa"/>
          </w:tcPr>
          <w:p>
            <w:pPr>
              <w:pStyle w:val="Default"/>
              <w:rPr>
                <w:sz w:val="18"/>
                <w:szCs w:val="18"/>
              </w:rPr>
            </w:pPr>
            <w:proofErr w:type="spellStart"/>
            <w:r>
              <w:rPr>
                <w:sz w:val="18"/>
                <w:szCs w:val="18"/>
              </w:rPr>
              <w:t>RedCap</w:t>
            </w:r>
            <w:proofErr w:type="spellEnd"/>
            <w:r>
              <w:rPr>
                <w:sz w:val="18"/>
                <w:szCs w:val="18"/>
              </w:rPr>
              <w:t xml:space="preserve"> UEs supporting 5GS FR1 </w:t>
            </w:r>
          </w:p>
          <w:p>
            <w:pPr>
              <w:spacing w:after="0"/>
              <w:rPr>
                <w:sz w:val="18"/>
                <w:szCs w:val="18"/>
              </w:rPr>
            </w:pPr>
          </w:p>
        </w:tc>
      </w:tr>
      <w:tr>
        <w:trPr>
          <w:trHeight w:val="260"/>
          <w:jc w:val="center"/>
        </w:trPr>
        <w:tc>
          <w:tcPr>
            <w:tcW w:w="932" w:type="dxa"/>
            <w:tcMar>
              <w:top w:w="0" w:type="dxa"/>
              <w:left w:w="108" w:type="dxa"/>
              <w:bottom w:w="0" w:type="dxa"/>
              <w:right w:w="108" w:type="dxa"/>
            </w:tcMar>
            <w:vAlign w:val="center"/>
            <w:hideMark/>
          </w:tcPr>
          <w:p>
            <w:pPr>
              <w:spacing w:after="0"/>
              <w:rPr>
                <w:rFonts w:ascii="Arial" w:hAnsi="Arial" w:cs="Arial"/>
                <w:color w:val="000000"/>
                <w:sz w:val="18"/>
                <w:szCs w:val="18"/>
                <w:lang w:val="en-US" w:eastAsia="zh-CN"/>
              </w:rPr>
            </w:pPr>
            <w:r>
              <w:rPr>
                <w:rFonts w:ascii="Arial" w:hAnsi="Arial" w:cs="Arial"/>
                <w:color w:val="000000"/>
                <w:sz w:val="18"/>
                <w:szCs w:val="18"/>
              </w:rPr>
              <w:t>6.2I.3</w:t>
            </w:r>
          </w:p>
        </w:tc>
        <w:tc>
          <w:tcPr>
            <w:tcW w:w="3316" w:type="dxa"/>
            <w:noWrap/>
            <w:tcMar>
              <w:top w:w="0" w:type="dxa"/>
              <w:left w:w="108" w:type="dxa"/>
              <w:bottom w:w="0" w:type="dxa"/>
              <w:right w:w="108" w:type="dxa"/>
            </w:tcMar>
            <w:vAlign w:val="center"/>
            <w:hideMark/>
          </w:tcPr>
          <w:p>
            <w:pPr>
              <w:spacing w:after="0"/>
              <w:rPr>
                <w:rFonts w:ascii="Arial" w:hAnsi="Arial" w:cs="Arial"/>
                <w:color w:val="000000"/>
                <w:sz w:val="18"/>
                <w:szCs w:val="18"/>
              </w:rPr>
            </w:pPr>
            <w:r>
              <w:rPr>
                <w:rFonts w:ascii="Arial" w:hAnsi="Arial" w:cs="Arial"/>
                <w:color w:val="000000"/>
                <w:sz w:val="18"/>
                <w:szCs w:val="18"/>
              </w:rPr>
              <w:t>UE additional maximum output power reduction for RedCap</w:t>
            </w:r>
          </w:p>
        </w:tc>
        <w:tc>
          <w:tcPr>
            <w:tcW w:w="861" w:type="dxa"/>
          </w:tcPr>
          <w:p>
            <w:pPr>
              <w:spacing w:after="0"/>
              <w:rPr>
                <w:rFonts w:ascii="Arial" w:hAnsi="Arial" w:cs="Arial"/>
                <w:color w:val="000000"/>
                <w:sz w:val="18"/>
                <w:szCs w:val="18"/>
              </w:rPr>
            </w:pPr>
            <w:r>
              <w:rPr>
                <w:sz w:val="18"/>
                <w:szCs w:val="18"/>
              </w:rPr>
              <w:t>C177</w:t>
            </w:r>
          </w:p>
        </w:tc>
        <w:tc>
          <w:tcPr>
            <w:tcW w:w="4525" w:type="dxa"/>
          </w:tcPr>
          <w:p>
            <w:pPr>
              <w:pStyle w:val="Default"/>
              <w:rPr>
                <w:sz w:val="18"/>
                <w:szCs w:val="18"/>
              </w:rPr>
            </w:pPr>
            <w:proofErr w:type="spellStart"/>
            <w:r>
              <w:rPr>
                <w:sz w:val="18"/>
                <w:szCs w:val="18"/>
              </w:rPr>
              <w:t>RedCap</w:t>
            </w:r>
            <w:proofErr w:type="spellEnd"/>
            <w:r>
              <w:rPr>
                <w:sz w:val="18"/>
                <w:szCs w:val="18"/>
              </w:rPr>
              <w:t xml:space="preserve"> UEs supporting 5GS FR1 </w:t>
            </w:r>
          </w:p>
          <w:p>
            <w:pPr>
              <w:spacing w:after="0"/>
              <w:rPr>
                <w:sz w:val="18"/>
                <w:szCs w:val="18"/>
              </w:rPr>
            </w:pPr>
          </w:p>
        </w:tc>
      </w:tr>
      <w:tr>
        <w:trPr>
          <w:trHeight w:val="278"/>
          <w:jc w:val="center"/>
        </w:trPr>
        <w:tc>
          <w:tcPr>
            <w:tcW w:w="932" w:type="dxa"/>
            <w:tcMar>
              <w:top w:w="0" w:type="dxa"/>
              <w:left w:w="108" w:type="dxa"/>
              <w:bottom w:w="0" w:type="dxa"/>
              <w:right w:w="108" w:type="dxa"/>
            </w:tcMar>
            <w:vAlign w:val="center"/>
            <w:hideMark/>
          </w:tcPr>
          <w:p>
            <w:pPr>
              <w:spacing w:after="0"/>
              <w:rPr>
                <w:rFonts w:ascii="Arial" w:hAnsi="Arial" w:cs="Arial"/>
                <w:color w:val="000000"/>
                <w:sz w:val="18"/>
                <w:szCs w:val="18"/>
              </w:rPr>
            </w:pPr>
            <w:r>
              <w:rPr>
                <w:rFonts w:ascii="Arial" w:hAnsi="Arial" w:cs="Arial"/>
                <w:color w:val="000000"/>
                <w:sz w:val="18"/>
                <w:szCs w:val="18"/>
              </w:rPr>
              <w:t>6.2I.4</w:t>
            </w:r>
          </w:p>
        </w:tc>
        <w:tc>
          <w:tcPr>
            <w:tcW w:w="3316" w:type="dxa"/>
            <w:noWrap/>
            <w:tcMar>
              <w:top w:w="0" w:type="dxa"/>
              <w:left w:w="108" w:type="dxa"/>
              <w:bottom w:w="0" w:type="dxa"/>
              <w:right w:w="108" w:type="dxa"/>
            </w:tcMar>
            <w:vAlign w:val="center"/>
            <w:hideMark/>
          </w:tcPr>
          <w:p>
            <w:pPr>
              <w:spacing w:after="0"/>
              <w:rPr>
                <w:rFonts w:ascii="Arial" w:hAnsi="Arial" w:cs="Arial"/>
                <w:color w:val="000000"/>
                <w:sz w:val="18"/>
                <w:szCs w:val="18"/>
              </w:rPr>
            </w:pPr>
            <w:r>
              <w:rPr>
                <w:rFonts w:ascii="Arial" w:hAnsi="Arial" w:cs="Arial"/>
                <w:color w:val="000000"/>
                <w:sz w:val="18"/>
                <w:szCs w:val="18"/>
              </w:rPr>
              <w:t>Configured transmitted power for RedCap</w:t>
            </w:r>
          </w:p>
        </w:tc>
        <w:tc>
          <w:tcPr>
            <w:tcW w:w="861" w:type="dxa"/>
          </w:tcPr>
          <w:p>
            <w:pPr>
              <w:spacing w:after="0"/>
              <w:rPr>
                <w:rFonts w:ascii="Arial" w:hAnsi="Arial" w:cs="Arial"/>
                <w:color w:val="000000"/>
                <w:sz w:val="18"/>
                <w:szCs w:val="18"/>
              </w:rPr>
            </w:pPr>
            <w:r>
              <w:rPr>
                <w:sz w:val="18"/>
                <w:szCs w:val="18"/>
              </w:rPr>
              <w:t>C177</w:t>
            </w:r>
          </w:p>
        </w:tc>
        <w:tc>
          <w:tcPr>
            <w:tcW w:w="4525" w:type="dxa"/>
          </w:tcPr>
          <w:p>
            <w:pPr>
              <w:pStyle w:val="Default"/>
              <w:rPr>
                <w:sz w:val="18"/>
                <w:szCs w:val="18"/>
              </w:rPr>
            </w:pPr>
            <w:proofErr w:type="spellStart"/>
            <w:r>
              <w:rPr>
                <w:sz w:val="18"/>
                <w:szCs w:val="18"/>
              </w:rPr>
              <w:t>RedCap</w:t>
            </w:r>
            <w:proofErr w:type="spellEnd"/>
            <w:r>
              <w:rPr>
                <w:sz w:val="18"/>
                <w:szCs w:val="18"/>
              </w:rPr>
              <w:t xml:space="preserve"> UEs supporting 5GS FR1 </w:t>
            </w:r>
          </w:p>
          <w:p>
            <w:pPr>
              <w:spacing w:after="0"/>
              <w:rPr>
                <w:sz w:val="18"/>
                <w:szCs w:val="18"/>
              </w:rPr>
            </w:pPr>
          </w:p>
        </w:tc>
      </w:tr>
      <w:tr>
        <w:trPr>
          <w:trHeight w:val="278"/>
          <w:jc w:val="center"/>
        </w:trPr>
        <w:tc>
          <w:tcPr>
            <w:tcW w:w="932" w:type="dxa"/>
            <w:tcMar>
              <w:top w:w="0" w:type="dxa"/>
              <w:left w:w="108" w:type="dxa"/>
              <w:bottom w:w="0" w:type="dxa"/>
              <w:right w:w="108" w:type="dxa"/>
            </w:tcMar>
            <w:vAlign w:val="center"/>
          </w:tcPr>
          <w:p>
            <w:pPr>
              <w:spacing w:after="0"/>
              <w:rPr>
                <w:rFonts w:ascii="Arial" w:hAnsi="Arial" w:cs="Arial"/>
                <w:color w:val="000000"/>
                <w:sz w:val="18"/>
                <w:szCs w:val="18"/>
              </w:rPr>
            </w:pPr>
            <w:r>
              <w:rPr>
                <w:rFonts w:ascii="Arial" w:hAnsi="Arial" w:cs="Arial"/>
                <w:color w:val="000000"/>
                <w:sz w:val="18"/>
                <w:szCs w:val="18"/>
              </w:rPr>
              <w:t>6.2.1</w:t>
            </w:r>
          </w:p>
        </w:tc>
        <w:tc>
          <w:tcPr>
            <w:tcW w:w="3316" w:type="dxa"/>
            <w:noWrap/>
            <w:tcMar>
              <w:top w:w="0" w:type="dxa"/>
              <w:left w:w="108" w:type="dxa"/>
              <w:bottom w:w="0" w:type="dxa"/>
              <w:right w:w="108" w:type="dxa"/>
            </w:tcMar>
            <w:vAlign w:val="center"/>
          </w:tcPr>
          <w:p>
            <w:pPr>
              <w:pStyle w:val="Default"/>
              <w:rPr>
                <w:sz w:val="18"/>
                <w:szCs w:val="18"/>
              </w:rPr>
            </w:pPr>
            <w:r>
              <w:rPr>
                <w:sz w:val="18"/>
                <w:szCs w:val="18"/>
              </w:rPr>
              <w:t xml:space="preserve">UE maximum output power </w:t>
            </w:r>
          </w:p>
        </w:tc>
        <w:tc>
          <w:tcPr>
            <w:tcW w:w="861" w:type="dxa"/>
          </w:tcPr>
          <w:p>
            <w:pPr>
              <w:pStyle w:val="Default"/>
              <w:rPr>
                <w:sz w:val="18"/>
                <w:szCs w:val="18"/>
              </w:rPr>
            </w:pPr>
            <w:r>
              <w:rPr>
                <w:sz w:val="18"/>
                <w:szCs w:val="18"/>
              </w:rPr>
              <w:t xml:space="preserve">C001h </w:t>
            </w:r>
          </w:p>
        </w:tc>
        <w:tc>
          <w:tcPr>
            <w:tcW w:w="4525" w:type="dxa"/>
          </w:tcPr>
          <w:p>
            <w:pPr>
              <w:pStyle w:val="Default"/>
              <w:rPr>
                <w:sz w:val="18"/>
                <w:szCs w:val="18"/>
              </w:rPr>
            </w:pPr>
            <w:r>
              <w:rPr>
                <w:sz w:val="18"/>
                <w:szCs w:val="18"/>
              </w:rPr>
              <w:t xml:space="preserve">UEs supporting 5GS FR1 not supporting txDiversity-r16 </w:t>
            </w:r>
          </w:p>
        </w:tc>
      </w:tr>
      <w:tr>
        <w:trPr>
          <w:trHeight w:val="278"/>
          <w:jc w:val="center"/>
        </w:trPr>
        <w:tc>
          <w:tcPr>
            <w:tcW w:w="932" w:type="dxa"/>
            <w:tcMar>
              <w:top w:w="0" w:type="dxa"/>
              <w:left w:w="108" w:type="dxa"/>
              <w:bottom w:w="0" w:type="dxa"/>
              <w:right w:w="108" w:type="dxa"/>
            </w:tcMar>
            <w:vAlign w:val="center"/>
          </w:tcPr>
          <w:p>
            <w:pPr>
              <w:spacing w:after="0"/>
              <w:rPr>
                <w:rFonts w:ascii="Arial" w:hAnsi="Arial" w:cs="Arial"/>
                <w:color w:val="000000"/>
                <w:sz w:val="18"/>
                <w:szCs w:val="18"/>
              </w:rPr>
            </w:pPr>
            <w:r>
              <w:rPr>
                <w:rFonts w:ascii="Arial" w:hAnsi="Arial" w:cs="Arial"/>
                <w:color w:val="000000"/>
                <w:sz w:val="18"/>
                <w:szCs w:val="18"/>
              </w:rPr>
              <w:t>6.2.2</w:t>
            </w:r>
          </w:p>
        </w:tc>
        <w:tc>
          <w:tcPr>
            <w:tcW w:w="3316" w:type="dxa"/>
            <w:noWrap/>
            <w:tcMar>
              <w:top w:w="0" w:type="dxa"/>
              <w:left w:w="108" w:type="dxa"/>
              <w:bottom w:w="0" w:type="dxa"/>
              <w:right w:w="108" w:type="dxa"/>
            </w:tcMar>
            <w:vAlign w:val="center"/>
          </w:tcPr>
          <w:p>
            <w:pPr>
              <w:pStyle w:val="Default"/>
              <w:rPr>
                <w:sz w:val="18"/>
                <w:szCs w:val="18"/>
              </w:rPr>
            </w:pPr>
            <w:r>
              <w:rPr>
                <w:sz w:val="18"/>
                <w:szCs w:val="18"/>
              </w:rPr>
              <w:t xml:space="preserve">UE maximum output power reduction </w:t>
            </w:r>
          </w:p>
        </w:tc>
        <w:tc>
          <w:tcPr>
            <w:tcW w:w="861" w:type="dxa"/>
          </w:tcPr>
          <w:p>
            <w:pPr>
              <w:spacing w:after="0"/>
              <w:rPr>
                <w:rFonts w:ascii="Arial" w:hAnsi="Arial" w:cs="Arial"/>
                <w:color w:val="000000"/>
                <w:sz w:val="18"/>
                <w:szCs w:val="18"/>
              </w:rPr>
            </w:pPr>
            <w:r>
              <w:rPr>
                <w:sz w:val="18"/>
                <w:szCs w:val="18"/>
              </w:rPr>
              <w:t>C001h</w:t>
            </w:r>
          </w:p>
        </w:tc>
        <w:tc>
          <w:tcPr>
            <w:tcW w:w="4525" w:type="dxa"/>
          </w:tcPr>
          <w:p>
            <w:pPr>
              <w:spacing w:after="0"/>
              <w:rPr>
                <w:sz w:val="18"/>
                <w:szCs w:val="18"/>
              </w:rPr>
            </w:pPr>
            <w:r>
              <w:rPr>
                <w:sz w:val="18"/>
                <w:szCs w:val="18"/>
              </w:rPr>
              <w:t>Same as above</w:t>
            </w:r>
          </w:p>
        </w:tc>
      </w:tr>
      <w:tr>
        <w:trPr>
          <w:trHeight w:val="278"/>
          <w:jc w:val="center"/>
        </w:trPr>
        <w:tc>
          <w:tcPr>
            <w:tcW w:w="932" w:type="dxa"/>
            <w:tcMar>
              <w:top w:w="0" w:type="dxa"/>
              <w:left w:w="108" w:type="dxa"/>
              <w:bottom w:w="0" w:type="dxa"/>
              <w:right w:w="108" w:type="dxa"/>
            </w:tcMar>
            <w:vAlign w:val="center"/>
          </w:tcPr>
          <w:p>
            <w:pPr>
              <w:spacing w:after="0"/>
              <w:rPr>
                <w:rFonts w:ascii="Arial" w:hAnsi="Arial" w:cs="Arial"/>
                <w:color w:val="000000"/>
                <w:sz w:val="18"/>
                <w:szCs w:val="18"/>
                <w:lang w:val="en-US" w:eastAsia="zh-CN"/>
              </w:rPr>
            </w:pPr>
            <w:r>
              <w:rPr>
                <w:rFonts w:ascii="Arial" w:hAnsi="Arial" w:cs="Arial"/>
                <w:color w:val="000000"/>
                <w:sz w:val="18"/>
                <w:szCs w:val="18"/>
              </w:rPr>
              <w:t>6.2.3</w:t>
            </w:r>
          </w:p>
        </w:tc>
        <w:tc>
          <w:tcPr>
            <w:tcW w:w="3316" w:type="dxa"/>
            <w:noWrap/>
            <w:tcMar>
              <w:top w:w="0" w:type="dxa"/>
              <w:left w:w="108" w:type="dxa"/>
              <w:bottom w:w="0" w:type="dxa"/>
              <w:right w:w="108" w:type="dxa"/>
            </w:tcMar>
            <w:vAlign w:val="center"/>
          </w:tcPr>
          <w:p>
            <w:pPr>
              <w:pStyle w:val="Default"/>
              <w:rPr>
                <w:sz w:val="18"/>
                <w:szCs w:val="18"/>
              </w:rPr>
            </w:pPr>
            <w:r>
              <w:rPr>
                <w:sz w:val="18"/>
                <w:szCs w:val="18"/>
              </w:rPr>
              <w:t xml:space="preserve">UE additional maximum output power reduction </w:t>
            </w:r>
          </w:p>
        </w:tc>
        <w:tc>
          <w:tcPr>
            <w:tcW w:w="861" w:type="dxa"/>
          </w:tcPr>
          <w:p>
            <w:pPr>
              <w:spacing w:after="0"/>
              <w:rPr>
                <w:rFonts w:ascii="Arial" w:hAnsi="Arial" w:cs="Arial"/>
                <w:color w:val="000000"/>
                <w:sz w:val="18"/>
                <w:szCs w:val="18"/>
              </w:rPr>
            </w:pPr>
            <w:r>
              <w:rPr>
                <w:sz w:val="18"/>
                <w:szCs w:val="18"/>
              </w:rPr>
              <w:t>C001h</w:t>
            </w:r>
          </w:p>
        </w:tc>
        <w:tc>
          <w:tcPr>
            <w:tcW w:w="4525" w:type="dxa"/>
          </w:tcPr>
          <w:p>
            <w:pPr>
              <w:spacing w:after="0"/>
              <w:rPr>
                <w:sz w:val="18"/>
                <w:szCs w:val="18"/>
              </w:rPr>
            </w:pPr>
          </w:p>
        </w:tc>
      </w:tr>
      <w:tr>
        <w:trPr>
          <w:trHeight w:val="329"/>
          <w:jc w:val="center"/>
        </w:trPr>
        <w:tc>
          <w:tcPr>
            <w:tcW w:w="932" w:type="dxa"/>
            <w:tcMar>
              <w:top w:w="0" w:type="dxa"/>
              <w:left w:w="108" w:type="dxa"/>
              <w:bottom w:w="0" w:type="dxa"/>
              <w:right w:w="108" w:type="dxa"/>
            </w:tcMar>
            <w:vAlign w:val="center"/>
          </w:tcPr>
          <w:p>
            <w:pPr>
              <w:spacing w:after="0"/>
              <w:rPr>
                <w:rFonts w:ascii="Arial" w:hAnsi="Arial" w:cs="Arial"/>
                <w:color w:val="000000"/>
                <w:sz w:val="18"/>
                <w:szCs w:val="18"/>
              </w:rPr>
            </w:pPr>
            <w:r>
              <w:rPr>
                <w:rFonts w:ascii="Arial" w:hAnsi="Arial" w:cs="Arial"/>
                <w:color w:val="000000"/>
                <w:sz w:val="18"/>
                <w:szCs w:val="18"/>
              </w:rPr>
              <w:t>6.2.4</w:t>
            </w:r>
          </w:p>
        </w:tc>
        <w:tc>
          <w:tcPr>
            <w:tcW w:w="3316" w:type="dxa"/>
            <w:noWrap/>
            <w:tcMar>
              <w:top w:w="0" w:type="dxa"/>
              <w:left w:w="108" w:type="dxa"/>
              <w:bottom w:w="0" w:type="dxa"/>
              <w:right w:w="108" w:type="dxa"/>
            </w:tcMar>
            <w:vAlign w:val="center"/>
          </w:tcPr>
          <w:p>
            <w:pPr>
              <w:pStyle w:val="Default"/>
              <w:rPr>
                <w:sz w:val="18"/>
                <w:szCs w:val="18"/>
              </w:rPr>
            </w:pPr>
            <w:r>
              <w:rPr>
                <w:sz w:val="18"/>
                <w:szCs w:val="18"/>
              </w:rPr>
              <w:t xml:space="preserve">Configured transmitted power </w:t>
            </w:r>
          </w:p>
        </w:tc>
        <w:tc>
          <w:tcPr>
            <w:tcW w:w="861" w:type="dxa"/>
          </w:tcPr>
          <w:p>
            <w:pPr>
              <w:spacing w:after="0"/>
              <w:rPr>
                <w:rFonts w:ascii="Arial" w:hAnsi="Arial" w:cs="Arial"/>
                <w:color w:val="000000"/>
                <w:sz w:val="18"/>
                <w:szCs w:val="18"/>
              </w:rPr>
            </w:pPr>
            <w:r>
              <w:rPr>
                <w:sz w:val="18"/>
                <w:szCs w:val="18"/>
              </w:rPr>
              <w:t>C001h</w:t>
            </w:r>
          </w:p>
        </w:tc>
        <w:tc>
          <w:tcPr>
            <w:tcW w:w="4525" w:type="dxa"/>
          </w:tcPr>
          <w:p>
            <w:pPr>
              <w:spacing w:after="0"/>
              <w:rPr>
                <w:sz w:val="18"/>
                <w:szCs w:val="18"/>
              </w:rPr>
            </w:pPr>
          </w:p>
        </w:tc>
      </w:tr>
      <w:tr>
        <w:trPr>
          <w:trHeight w:val="282"/>
          <w:jc w:val="center"/>
        </w:trPr>
        <w:tc>
          <w:tcPr>
            <w:tcW w:w="932" w:type="dxa"/>
            <w:tcMar>
              <w:top w:w="0" w:type="dxa"/>
              <w:left w:w="108" w:type="dxa"/>
              <w:bottom w:w="0" w:type="dxa"/>
              <w:right w:w="108" w:type="dxa"/>
            </w:tcMar>
            <w:vAlign w:val="center"/>
            <w:hideMark/>
          </w:tcPr>
          <w:p>
            <w:pPr>
              <w:spacing w:after="0"/>
              <w:rPr>
                <w:rFonts w:ascii="Arial" w:hAnsi="Arial" w:cs="Arial"/>
                <w:color w:val="000000"/>
                <w:sz w:val="18"/>
                <w:szCs w:val="18"/>
              </w:rPr>
            </w:pPr>
            <w:r>
              <w:rPr>
                <w:rFonts w:ascii="Arial" w:hAnsi="Arial" w:cs="Arial"/>
                <w:color w:val="000000"/>
                <w:sz w:val="18"/>
                <w:szCs w:val="18"/>
              </w:rPr>
              <w:t>6.3.1</w:t>
            </w:r>
          </w:p>
        </w:tc>
        <w:tc>
          <w:tcPr>
            <w:tcW w:w="3316" w:type="dxa"/>
            <w:noWrap/>
            <w:tcMar>
              <w:top w:w="0" w:type="dxa"/>
              <w:left w:w="108" w:type="dxa"/>
              <w:bottom w:w="0" w:type="dxa"/>
              <w:right w:w="108" w:type="dxa"/>
            </w:tcMar>
            <w:vAlign w:val="center"/>
            <w:hideMark/>
          </w:tcPr>
          <w:p>
            <w:pPr>
              <w:spacing w:after="0"/>
              <w:rPr>
                <w:rFonts w:ascii="Arial" w:hAnsi="Arial" w:cs="Arial"/>
                <w:color w:val="000000"/>
                <w:sz w:val="18"/>
                <w:szCs w:val="18"/>
              </w:rPr>
            </w:pPr>
            <w:r>
              <w:rPr>
                <w:rFonts w:ascii="Arial" w:hAnsi="Arial" w:cs="Arial"/>
                <w:color w:val="000000"/>
                <w:sz w:val="18"/>
                <w:szCs w:val="18"/>
              </w:rPr>
              <w:t>Minimum output power</w:t>
            </w:r>
          </w:p>
        </w:tc>
        <w:tc>
          <w:tcPr>
            <w:tcW w:w="861" w:type="dxa"/>
          </w:tcPr>
          <w:p>
            <w:pPr>
              <w:spacing w:after="0"/>
              <w:rPr>
                <w:rFonts w:ascii="Arial" w:hAnsi="Arial" w:cs="Arial"/>
                <w:color w:val="000000"/>
                <w:sz w:val="18"/>
                <w:szCs w:val="18"/>
              </w:rPr>
            </w:pPr>
            <w:r>
              <w:rPr>
                <w:sz w:val="18"/>
                <w:szCs w:val="18"/>
              </w:rPr>
              <w:t>C001h</w:t>
            </w:r>
          </w:p>
        </w:tc>
        <w:tc>
          <w:tcPr>
            <w:tcW w:w="4525" w:type="dxa"/>
          </w:tcPr>
          <w:p>
            <w:pPr>
              <w:spacing w:after="0"/>
              <w:rPr>
                <w:sz w:val="18"/>
                <w:szCs w:val="18"/>
              </w:rPr>
            </w:pPr>
          </w:p>
        </w:tc>
      </w:tr>
      <w:tr>
        <w:trPr>
          <w:trHeight w:val="258"/>
          <w:jc w:val="center"/>
        </w:trPr>
        <w:tc>
          <w:tcPr>
            <w:tcW w:w="932" w:type="dxa"/>
            <w:tcMar>
              <w:top w:w="0" w:type="dxa"/>
              <w:left w:w="108" w:type="dxa"/>
              <w:bottom w:w="0" w:type="dxa"/>
              <w:right w:w="108" w:type="dxa"/>
            </w:tcMar>
            <w:vAlign w:val="center"/>
            <w:hideMark/>
          </w:tcPr>
          <w:p>
            <w:pPr>
              <w:spacing w:after="0"/>
              <w:rPr>
                <w:rFonts w:ascii="Arial" w:hAnsi="Arial" w:cs="Arial"/>
                <w:color w:val="000000"/>
                <w:sz w:val="18"/>
                <w:szCs w:val="18"/>
              </w:rPr>
            </w:pPr>
            <w:r>
              <w:rPr>
                <w:rFonts w:ascii="Arial" w:hAnsi="Arial" w:cs="Arial"/>
                <w:color w:val="000000"/>
                <w:sz w:val="18"/>
                <w:szCs w:val="18"/>
              </w:rPr>
              <w:t>6.3.3.2</w:t>
            </w:r>
          </w:p>
        </w:tc>
        <w:tc>
          <w:tcPr>
            <w:tcW w:w="3316" w:type="dxa"/>
            <w:noWrap/>
            <w:tcMar>
              <w:top w:w="0" w:type="dxa"/>
              <w:left w:w="108" w:type="dxa"/>
              <w:bottom w:w="0" w:type="dxa"/>
              <w:right w:w="108" w:type="dxa"/>
            </w:tcMar>
            <w:vAlign w:val="center"/>
            <w:hideMark/>
          </w:tcPr>
          <w:p>
            <w:pPr>
              <w:spacing w:after="0"/>
              <w:rPr>
                <w:rFonts w:ascii="Arial" w:hAnsi="Arial" w:cs="Arial"/>
                <w:color w:val="000000"/>
                <w:sz w:val="18"/>
                <w:szCs w:val="18"/>
              </w:rPr>
            </w:pPr>
            <w:r>
              <w:rPr>
                <w:rFonts w:ascii="Arial" w:hAnsi="Arial" w:cs="Arial"/>
                <w:color w:val="000000"/>
                <w:sz w:val="18"/>
                <w:szCs w:val="18"/>
              </w:rPr>
              <w:t xml:space="preserve">General ON/OFF time mask </w:t>
            </w:r>
          </w:p>
        </w:tc>
        <w:tc>
          <w:tcPr>
            <w:tcW w:w="861" w:type="dxa"/>
          </w:tcPr>
          <w:p>
            <w:pPr>
              <w:spacing w:after="0"/>
              <w:rPr>
                <w:rFonts w:ascii="Arial" w:hAnsi="Arial" w:cs="Arial"/>
                <w:color w:val="000000"/>
                <w:sz w:val="18"/>
                <w:szCs w:val="18"/>
              </w:rPr>
            </w:pPr>
            <w:r>
              <w:rPr>
                <w:sz w:val="18"/>
                <w:szCs w:val="18"/>
              </w:rPr>
              <w:t>C001h</w:t>
            </w:r>
          </w:p>
        </w:tc>
        <w:tc>
          <w:tcPr>
            <w:tcW w:w="4525" w:type="dxa"/>
          </w:tcPr>
          <w:p>
            <w:pPr>
              <w:spacing w:after="0"/>
              <w:rPr>
                <w:sz w:val="18"/>
                <w:szCs w:val="18"/>
              </w:rPr>
            </w:pPr>
          </w:p>
        </w:tc>
      </w:tr>
      <w:tr>
        <w:trPr>
          <w:trHeight w:val="275"/>
          <w:jc w:val="center"/>
        </w:trPr>
        <w:tc>
          <w:tcPr>
            <w:tcW w:w="932" w:type="dxa"/>
            <w:tcMar>
              <w:top w:w="0" w:type="dxa"/>
              <w:left w:w="108" w:type="dxa"/>
              <w:bottom w:w="0" w:type="dxa"/>
              <w:right w:w="108" w:type="dxa"/>
            </w:tcMar>
            <w:vAlign w:val="center"/>
            <w:hideMark/>
          </w:tcPr>
          <w:p>
            <w:pPr>
              <w:spacing w:after="0"/>
              <w:rPr>
                <w:rFonts w:ascii="Arial" w:hAnsi="Arial" w:cs="Arial"/>
                <w:color w:val="000000"/>
                <w:sz w:val="18"/>
                <w:szCs w:val="18"/>
              </w:rPr>
            </w:pPr>
            <w:r>
              <w:rPr>
                <w:rFonts w:ascii="Arial" w:hAnsi="Arial" w:cs="Arial"/>
                <w:color w:val="000000"/>
                <w:sz w:val="18"/>
                <w:szCs w:val="18"/>
              </w:rPr>
              <w:t>6.3.3.4</w:t>
            </w:r>
          </w:p>
        </w:tc>
        <w:tc>
          <w:tcPr>
            <w:tcW w:w="3316" w:type="dxa"/>
            <w:noWrap/>
            <w:tcMar>
              <w:top w:w="0" w:type="dxa"/>
              <w:left w:w="108" w:type="dxa"/>
              <w:bottom w:w="0" w:type="dxa"/>
              <w:right w:w="108" w:type="dxa"/>
            </w:tcMar>
            <w:vAlign w:val="center"/>
            <w:hideMark/>
          </w:tcPr>
          <w:p>
            <w:pPr>
              <w:spacing w:after="0"/>
              <w:rPr>
                <w:rFonts w:ascii="Arial" w:hAnsi="Arial" w:cs="Arial"/>
                <w:color w:val="000000"/>
                <w:sz w:val="18"/>
                <w:szCs w:val="18"/>
              </w:rPr>
            </w:pPr>
            <w:r>
              <w:rPr>
                <w:rFonts w:ascii="Arial" w:hAnsi="Arial" w:cs="Arial"/>
                <w:color w:val="000000"/>
                <w:sz w:val="18"/>
                <w:szCs w:val="18"/>
              </w:rPr>
              <w:t>PRACH time mask</w:t>
            </w:r>
          </w:p>
        </w:tc>
        <w:tc>
          <w:tcPr>
            <w:tcW w:w="861" w:type="dxa"/>
          </w:tcPr>
          <w:p>
            <w:pPr>
              <w:spacing w:after="0"/>
              <w:rPr>
                <w:rFonts w:ascii="Arial" w:hAnsi="Arial" w:cs="Arial"/>
                <w:color w:val="000000"/>
                <w:sz w:val="18"/>
                <w:szCs w:val="18"/>
              </w:rPr>
            </w:pPr>
            <w:r>
              <w:rPr>
                <w:sz w:val="18"/>
                <w:szCs w:val="18"/>
              </w:rPr>
              <w:t>C001h</w:t>
            </w:r>
          </w:p>
        </w:tc>
        <w:tc>
          <w:tcPr>
            <w:tcW w:w="4525" w:type="dxa"/>
          </w:tcPr>
          <w:p>
            <w:pPr>
              <w:spacing w:after="0"/>
              <w:rPr>
                <w:sz w:val="18"/>
                <w:szCs w:val="18"/>
              </w:rPr>
            </w:pPr>
          </w:p>
        </w:tc>
      </w:tr>
      <w:tr>
        <w:trPr>
          <w:trHeight w:val="279"/>
          <w:jc w:val="center"/>
        </w:trPr>
        <w:tc>
          <w:tcPr>
            <w:tcW w:w="932" w:type="dxa"/>
            <w:tcMar>
              <w:top w:w="0" w:type="dxa"/>
              <w:left w:w="108" w:type="dxa"/>
              <w:bottom w:w="0" w:type="dxa"/>
              <w:right w:w="108" w:type="dxa"/>
            </w:tcMar>
            <w:vAlign w:val="center"/>
            <w:hideMark/>
          </w:tcPr>
          <w:p>
            <w:pPr>
              <w:spacing w:after="0"/>
              <w:rPr>
                <w:rFonts w:ascii="Arial" w:hAnsi="Arial" w:cs="Arial"/>
                <w:color w:val="000000"/>
                <w:sz w:val="18"/>
                <w:szCs w:val="18"/>
              </w:rPr>
            </w:pPr>
            <w:r>
              <w:rPr>
                <w:rFonts w:ascii="Arial" w:hAnsi="Arial" w:cs="Arial"/>
                <w:color w:val="000000"/>
                <w:sz w:val="18"/>
                <w:szCs w:val="18"/>
              </w:rPr>
              <w:t>6.3.3.6</w:t>
            </w:r>
          </w:p>
        </w:tc>
        <w:tc>
          <w:tcPr>
            <w:tcW w:w="3316" w:type="dxa"/>
            <w:noWrap/>
            <w:tcMar>
              <w:top w:w="0" w:type="dxa"/>
              <w:left w:w="108" w:type="dxa"/>
              <w:bottom w:w="0" w:type="dxa"/>
              <w:right w:w="108" w:type="dxa"/>
            </w:tcMar>
            <w:vAlign w:val="center"/>
            <w:hideMark/>
          </w:tcPr>
          <w:p>
            <w:pPr>
              <w:spacing w:after="0"/>
              <w:rPr>
                <w:rFonts w:ascii="Arial" w:hAnsi="Arial" w:cs="Arial"/>
                <w:color w:val="000000"/>
                <w:sz w:val="18"/>
                <w:szCs w:val="18"/>
              </w:rPr>
            </w:pPr>
            <w:r>
              <w:rPr>
                <w:rFonts w:ascii="Arial" w:hAnsi="Arial" w:cs="Arial"/>
                <w:color w:val="000000"/>
                <w:sz w:val="18"/>
                <w:szCs w:val="18"/>
              </w:rPr>
              <w:t>SRS time mask</w:t>
            </w:r>
          </w:p>
        </w:tc>
        <w:tc>
          <w:tcPr>
            <w:tcW w:w="861" w:type="dxa"/>
          </w:tcPr>
          <w:p>
            <w:pPr>
              <w:spacing w:after="0"/>
              <w:rPr>
                <w:rFonts w:ascii="Arial" w:hAnsi="Arial" w:cs="Arial"/>
                <w:color w:val="000000"/>
                <w:sz w:val="18"/>
                <w:szCs w:val="18"/>
              </w:rPr>
            </w:pPr>
            <w:r>
              <w:rPr>
                <w:sz w:val="18"/>
                <w:szCs w:val="18"/>
              </w:rPr>
              <w:t>C001h</w:t>
            </w:r>
          </w:p>
        </w:tc>
        <w:tc>
          <w:tcPr>
            <w:tcW w:w="4525" w:type="dxa"/>
          </w:tcPr>
          <w:p>
            <w:pPr>
              <w:spacing w:after="0"/>
              <w:rPr>
                <w:sz w:val="18"/>
                <w:szCs w:val="18"/>
              </w:rPr>
            </w:pPr>
          </w:p>
        </w:tc>
      </w:tr>
      <w:tr>
        <w:trPr>
          <w:trHeight w:val="269"/>
          <w:jc w:val="center"/>
        </w:trPr>
        <w:tc>
          <w:tcPr>
            <w:tcW w:w="932" w:type="dxa"/>
            <w:tcMar>
              <w:top w:w="0" w:type="dxa"/>
              <w:left w:w="108" w:type="dxa"/>
              <w:bottom w:w="0" w:type="dxa"/>
              <w:right w:w="108" w:type="dxa"/>
            </w:tcMar>
            <w:vAlign w:val="center"/>
            <w:hideMark/>
          </w:tcPr>
          <w:p>
            <w:pPr>
              <w:spacing w:after="0"/>
              <w:rPr>
                <w:rFonts w:ascii="Arial" w:hAnsi="Arial" w:cs="Arial"/>
                <w:color w:val="000000"/>
                <w:sz w:val="18"/>
                <w:szCs w:val="18"/>
              </w:rPr>
            </w:pPr>
            <w:r>
              <w:rPr>
                <w:rFonts w:ascii="Arial" w:hAnsi="Arial" w:cs="Arial"/>
                <w:color w:val="000000"/>
                <w:sz w:val="18"/>
                <w:szCs w:val="18"/>
              </w:rPr>
              <w:t>6.3.4.2</w:t>
            </w:r>
          </w:p>
        </w:tc>
        <w:tc>
          <w:tcPr>
            <w:tcW w:w="3316" w:type="dxa"/>
            <w:noWrap/>
            <w:tcMar>
              <w:top w:w="0" w:type="dxa"/>
              <w:left w:w="108" w:type="dxa"/>
              <w:bottom w:w="0" w:type="dxa"/>
              <w:right w:w="108" w:type="dxa"/>
            </w:tcMar>
            <w:vAlign w:val="center"/>
            <w:hideMark/>
          </w:tcPr>
          <w:p>
            <w:pPr>
              <w:spacing w:after="0"/>
              <w:rPr>
                <w:rFonts w:ascii="Arial" w:hAnsi="Arial" w:cs="Arial"/>
                <w:color w:val="000000"/>
                <w:sz w:val="18"/>
                <w:szCs w:val="18"/>
              </w:rPr>
            </w:pPr>
            <w:r>
              <w:rPr>
                <w:rFonts w:ascii="Arial" w:hAnsi="Arial" w:cs="Arial"/>
                <w:color w:val="000000"/>
                <w:sz w:val="18"/>
                <w:szCs w:val="18"/>
              </w:rPr>
              <w:t>absolute Power tolerance</w:t>
            </w:r>
          </w:p>
        </w:tc>
        <w:tc>
          <w:tcPr>
            <w:tcW w:w="861" w:type="dxa"/>
          </w:tcPr>
          <w:p>
            <w:pPr>
              <w:spacing w:after="0"/>
              <w:rPr>
                <w:rFonts w:ascii="Arial" w:hAnsi="Arial" w:cs="Arial"/>
                <w:color w:val="000000"/>
                <w:sz w:val="18"/>
                <w:szCs w:val="18"/>
              </w:rPr>
            </w:pPr>
            <w:r>
              <w:rPr>
                <w:sz w:val="18"/>
                <w:szCs w:val="18"/>
              </w:rPr>
              <w:t>C001h</w:t>
            </w:r>
          </w:p>
        </w:tc>
        <w:tc>
          <w:tcPr>
            <w:tcW w:w="4525" w:type="dxa"/>
          </w:tcPr>
          <w:p>
            <w:pPr>
              <w:spacing w:after="0"/>
              <w:rPr>
                <w:sz w:val="18"/>
                <w:szCs w:val="18"/>
              </w:rPr>
            </w:pPr>
          </w:p>
        </w:tc>
      </w:tr>
      <w:tr>
        <w:trPr>
          <w:trHeight w:val="273"/>
          <w:jc w:val="center"/>
        </w:trPr>
        <w:tc>
          <w:tcPr>
            <w:tcW w:w="932" w:type="dxa"/>
            <w:tcMar>
              <w:top w:w="0" w:type="dxa"/>
              <w:left w:w="108" w:type="dxa"/>
              <w:bottom w:w="0" w:type="dxa"/>
              <w:right w:w="108" w:type="dxa"/>
            </w:tcMar>
            <w:vAlign w:val="center"/>
            <w:hideMark/>
          </w:tcPr>
          <w:p>
            <w:pPr>
              <w:spacing w:after="0"/>
              <w:rPr>
                <w:rFonts w:ascii="Arial" w:hAnsi="Arial" w:cs="Arial"/>
                <w:color w:val="000000"/>
                <w:sz w:val="18"/>
                <w:szCs w:val="18"/>
              </w:rPr>
            </w:pPr>
            <w:r>
              <w:rPr>
                <w:rFonts w:ascii="Arial" w:hAnsi="Arial" w:cs="Arial"/>
                <w:color w:val="000000"/>
                <w:sz w:val="18"/>
                <w:szCs w:val="18"/>
              </w:rPr>
              <w:t>6.3.4.3</w:t>
            </w:r>
          </w:p>
        </w:tc>
        <w:tc>
          <w:tcPr>
            <w:tcW w:w="3316" w:type="dxa"/>
            <w:noWrap/>
            <w:tcMar>
              <w:top w:w="0" w:type="dxa"/>
              <w:left w:w="108" w:type="dxa"/>
              <w:bottom w:w="0" w:type="dxa"/>
              <w:right w:w="108" w:type="dxa"/>
            </w:tcMar>
            <w:vAlign w:val="center"/>
            <w:hideMark/>
          </w:tcPr>
          <w:p>
            <w:pPr>
              <w:spacing w:after="0"/>
              <w:rPr>
                <w:rFonts w:ascii="Arial" w:hAnsi="Arial" w:cs="Arial"/>
                <w:color w:val="000000"/>
                <w:sz w:val="18"/>
                <w:szCs w:val="18"/>
              </w:rPr>
            </w:pPr>
            <w:r>
              <w:rPr>
                <w:rFonts w:ascii="Arial" w:hAnsi="Arial" w:cs="Arial"/>
                <w:color w:val="000000"/>
                <w:sz w:val="18"/>
                <w:szCs w:val="18"/>
              </w:rPr>
              <w:t>Power Control Relative power tolerance</w:t>
            </w:r>
          </w:p>
        </w:tc>
        <w:tc>
          <w:tcPr>
            <w:tcW w:w="861" w:type="dxa"/>
          </w:tcPr>
          <w:p>
            <w:pPr>
              <w:spacing w:after="0"/>
              <w:rPr>
                <w:rFonts w:ascii="Arial" w:hAnsi="Arial" w:cs="Arial"/>
                <w:color w:val="000000"/>
                <w:sz w:val="18"/>
                <w:szCs w:val="18"/>
              </w:rPr>
            </w:pPr>
            <w:r>
              <w:rPr>
                <w:sz w:val="18"/>
                <w:szCs w:val="18"/>
              </w:rPr>
              <w:t>C001h</w:t>
            </w:r>
          </w:p>
        </w:tc>
        <w:tc>
          <w:tcPr>
            <w:tcW w:w="4525" w:type="dxa"/>
          </w:tcPr>
          <w:p>
            <w:pPr>
              <w:spacing w:after="0"/>
              <w:rPr>
                <w:sz w:val="18"/>
                <w:szCs w:val="18"/>
              </w:rPr>
            </w:pPr>
          </w:p>
        </w:tc>
      </w:tr>
      <w:tr>
        <w:trPr>
          <w:trHeight w:val="277"/>
          <w:jc w:val="center"/>
        </w:trPr>
        <w:tc>
          <w:tcPr>
            <w:tcW w:w="932" w:type="dxa"/>
            <w:tcMar>
              <w:top w:w="0" w:type="dxa"/>
              <w:left w:w="108" w:type="dxa"/>
              <w:bottom w:w="0" w:type="dxa"/>
              <w:right w:w="108" w:type="dxa"/>
            </w:tcMar>
            <w:vAlign w:val="center"/>
            <w:hideMark/>
          </w:tcPr>
          <w:p>
            <w:pPr>
              <w:spacing w:after="0"/>
              <w:rPr>
                <w:rFonts w:ascii="Arial" w:hAnsi="Arial" w:cs="Arial"/>
                <w:color w:val="000000"/>
                <w:sz w:val="18"/>
                <w:szCs w:val="18"/>
              </w:rPr>
            </w:pPr>
            <w:r>
              <w:rPr>
                <w:rFonts w:ascii="Arial" w:hAnsi="Arial" w:cs="Arial"/>
                <w:color w:val="000000"/>
                <w:sz w:val="18"/>
                <w:szCs w:val="18"/>
              </w:rPr>
              <w:t>6.3.4.4</w:t>
            </w:r>
          </w:p>
        </w:tc>
        <w:tc>
          <w:tcPr>
            <w:tcW w:w="3316" w:type="dxa"/>
            <w:noWrap/>
            <w:tcMar>
              <w:top w:w="0" w:type="dxa"/>
              <w:left w:w="108" w:type="dxa"/>
              <w:bottom w:w="0" w:type="dxa"/>
              <w:right w:w="108" w:type="dxa"/>
            </w:tcMar>
            <w:vAlign w:val="center"/>
            <w:hideMark/>
          </w:tcPr>
          <w:p>
            <w:pPr>
              <w:spacing w:after="0"/>
              <w:rPr>
                <w:rFonts w:ascii="Arial" w:hAnsi="Arial" w:cs="Arial"/>
                <w:color w:val="000000"/>
                <w:sz w:val="18"/>
                <w:szCs w:val="18"/>
              </w:rPr>
            </w:pPr>
            <w:r>
              <w:rPr>
                <w:rFonts w:ascii="Arial" w:hAnsi="Arial" w:cs="Arial"/>
                <w:color w:val="000000"/>
                <w:sz w:val="18"/>
                <w:szCs w:val="18"/>
              </w:rPr>
              <w:t>aggregate Power tolerance</w:t>
            </w:r>
          </w:p>
        </w:tc>
        <w:tc>
          <w:tcPr>
            <w:tcW w:w="861" w:type="dxa"/>
          </w:tcPr>
          <w:p>
            <w:pPr>
              <w:spacing w:after="0"/>
              <w:rPr>
                <w:rFonts w:ascii="Arial" w:hAnsi="Arial" w:cs="Arial"/>
                <w:color w:val="000000"/>
                <w:sz w:val="18"/>
                <w:szCs w:val="18"/>
              </w:rPr>
            </w:pPr>
            <w:r>
              <w:rPr>
                <w:sz w:val="18"/>
                <w:szCs w:val="18"/>
              </w:rPr>
              <w:t>C001h</w:t>
            </w:r>
          </w:p>
        </w:tc>
        <w:tc>
          <w:tcPr>
            <w:tcW w:w="4525" w:type="dxa"/>
          </w:tcPr>
          <w:p>
            <w:pPr>
              <w:spacing w:after="0"/>
              <w:rPr>
                <w:sz w:val="18"/>
                <w:szCs w:val="18"/>
              </w:rPr>
            </w:pPr>
          </w:p>
        </w:tc>
      </w:tr>
      <w:tr>
        <w:trPr>
          <w:trHeight w:val="267"/>
          <w:jc w:val="center"/>
        </w:trPr>
        <w:tc>
          <w:tcPr>
            <w:tcW w:w="932" w:type="dxa"/>
            <w:tcMar>
              <w:top w:w="0" w:type="dxa"/>
              <w:left w:w="108" w:type="dxa"/>
              <w:bottom w:w="0" w:type="dxa"/>
              <w:right w:w="108" w:type="dxa"/>
            </w:tcMar>
            <w:vAlign w:val="center"/>
            <w:hideMark/>
          </w:tcPr>
          <w:p>
            <w:pPr>
              <w:spacing w:after="0"/>
              <w:rPr>
                <w:rFonts w:ascii="Arial" w:hAnsi="Arial" w:cs="Arial"/>
                <w:color w:val="000000"/>
                <w:sz w:val="18"/>
                <w:szCs w:val="18"/>
              </w:rPr>
            </w:pPr>
            <w:r>
              <w:rPr>
                <w:rFonts w:ascii="Arial" w:hAnsi="Arial" w:cs="Arial"/>
                <w:color w:val="000000"/>
                <w:sz w:val="18"/>
                <w:szCs w:val="18"/>
              </w:rPr>
              <w:t>6.4.1</w:t>
            </w:r>
          </w:p>
        </w:tc>
        <w:tc>
          <w:tcPr>
            <w:tcW w:w="3316" w:type="dxa"/>
            <w:noWrap/>
            <w:tcMar>
              <w:top w:w="0" w:type="dxa"/>
              <w:left w:w="108" w:type="dxa"/>
              <w:bottom w:w="0" w:type="dxa"/>
              <w:right w:w="108" w:type="dxa"/>
            </w:tcMar>
            <w:vAlign w:val="center"/>
            <w:hideMark/>
          </w:tcPr>
          <w:p>
            <w:pPr>
              <w:spacing w:after="0"/>
              <w:rPr>
                <w:rFonts w:ascii="Arial" w:hAnsi="Arial" w:cs="Arial"/>
                <w:color w:val="000000"/>
                <w:sz w:val="18"/>
                <w:szCs w:val="18"/>
              </w:rPr>
            </w:pPr>
            <w:r>
              <w:rPr>
                <w:rFonts w:ascii="Arial" w:hAnsi="Arial" w:cs="Arial"/>
                <w:color w:val="000000"/>
                <w:sz w:val="18"/>
                <w:szCs w:val="18"/>
              </w:rPr>
              <w:t>Frequency error</w:t>
            </w:r>
          </w:p>
        </w:tc>
        <w:tc>
          <w:tcPr>
            <w:tcW w:w="861" w:type="dxa"/>
          </w:tcPr>
          <w:p>
            <w:pPr>
              <w:spacing w:after="0"/>
              <w:rPr>
                <w:rFonts w:ascii="Arial" w:hAnsi="Arial" w:cs="Arial"/>
                <w:color w:val="000000"/>
                <w:sz w:val="18"/>
                <w:szCs w:val="18"/>
              </w:rPr>
            </w:pPr>
            <w:r>
              <w:rPr>
                <w:sz w:val="18"/>
                <w:szCs w:val="18"/>
              </w:rPr>
              <w:t>C001h</w:t>
            </w:r>
          </w:p>
        </w:tc>
        <w:tc>
          <w:tcPr>
            <w:tcW w:w="4525" w:type="dxa"/>
          </w:tcPr>
          <w:p>
            <w:pPr>
              <w:spacing w:after="0"/>
              <w:rPr>
                <w:sz w:val="18"/>
                <w:szCs w:val="18"/>
              </w:rPr>
            </w:pPr>
          </w:p>
        </w:tc>
      </w:tr>
      <w:tr>
        <w:trPr>
          <w:trHeight w:val="271"/>
          <w:jc w:val="center"/>
        </w:trPr>
        <w:tc>
          <w:tcPr>
            <w:tcW w:w="932" w:type="dxa"/>
            <w:tcMar>
              <w:top w:w="0" w:type="dxa"/>
              <w:left w:w="108" w:type="dxa"/>
              <w:bottom w:w="0" w:type="dxa"/>
              <w:right w:w="108" w:type="dxa"/>
            </w:tcMar>
            <w:vAlign w:val="center"/>
            <w:hideMark/>
          </w:tcPr>
          <w:p>
            <w:pPr>
              <w:spacing w:after="0"/>
              <w:rPr>
                <w:rFonts w:ascii="Arial" w:hAnsi="Arial" w:cs="Arial"/>
                <w:color w:val="000000"/>
                <w:sz w:val="18"/>
                <w:szCs w:val="18"/>
              </w:rPr>
            </w:pPr>
            <w:r>
              <w:rPr>
                <w:rFonts w:ascii="Arial" w:hAnsi="Arial" w:cs="Arial"/>
                <w:color w:val="000000"/>
                <w:sz w:val="18"/>
                <w:szCs w:val="18"/>
              </w:rPr>
              <w:t>6.4.2.1</w:t>
            </w:r>
          </w:p>
        </w:tc>
        <w:tc>
          <w:tcPr>
            <w:tcW w:w="3316" w:type="dxa"/>
            <w:noWrap/>
            <w:tcMar>
              <w:top w:w="0" w:type="dxa"/>
              <w:left w:w="108" w:type="dxa"/>
              <w:bottom w:w="0" w:type="dxa"/>
              <w:right w:w="108" w:type="dxa"/>
            </w:tcMar>
            <w:vAlign w:val="center"/>
            <w:hideMark/>
          </w:tcPr>
          <w:p>
            <w:pPr>
              <w:spacing w:after="0"/>
              <w:rPr>
                <w:rFonts w:ascii="Arial" w:hAnsi="Arial" w:cs="Arial"/>
                <w:color w:val="000000"/>
                <w:sz w:val="18"/>
                <w:szCs w:val="18"/>
              </w:rPr>
            </w:pPr>
            <w:r>
              <w:rPr>
                <w:rFonts w:ascii="Arial" w:hAnsi="Arial" w:cs="Arial"/>
                <w:color w:val="000000"/>
                <w:sz w:val="18"/>
                <w:szCs w:val="18"/>
              </w:rPr>
              <w:t>Error vector magnitude</w:t>
            </w:r>
          </w:p>
        </w:tc>
        <w:tc>
          <w:tcPr>
            <w:tcW w:w="861" w:type="dxa"/>
          </w:tcPr>
          <w:p>
            <w:pPr>
              <w:spacing w:after="0"/>
              <w:rPr>
                <w:rFonts w:ascii="Arial" w:hAnsi="Arial" w:cs="Arial"/>
                <w:color w:val="000000"/>
                <w:sz w:val="18"/>
                <w:szCs w:val="18"/>
              </w:rPr>
            </w:pPr>
            <w:r>
              <w:rPr>
                <w:sz w:val="18"/>
                <w:szCs w:val="18"/>
              </w:rPr>
              <w:t>C001h</w:t>
            </w:r>
          </w:p>
        </w:tc>
        <w:tc>
          <w:tcPr>
            <w:tcW w:w="4525" w:type="dxa"/>
          </w:tcPr>
          <w:p>
            <w:pPr>
              <w:spacing w:after="0"/>
              <w:rPr>
                <w:sz w:val="18"/>
                <w:szCs w:val="18"/>
              </w:rPr>
            </w:pPr>
          </w:p>
        </w:tc>
      </w:tr>
      <w:tr>
        <w:trPr>
          <w:trHeight w:val="275"/>
          <w:jc w:val="center"/>
        </w:trPr>
        <w:tc>
          <w:tcPr>
            <w:tcW w:w="932" w:type="dxa"/>
            <w:tcMar>
              <w:top w:w="0" w:type="dxa"/>
              <w:left w:w="108" w:type="dxa"/>
              <w:bottom w:w="0" w:type="dxa"/>
              <w:right w:w="108" w:type="dxa"/>
            </w:tcMar>
            <w:vAlign w:val="center"/>
            <w:hideMark/>
          </w:tcPr>
          <w:p>
            <w:pPr>
              <w:spacing w:after="0"/>
              <w:rPr>
                <w:rFonts w:ascii="Arial" w:hAnsi="Arial" w:cs="Arial"/>
                <w:color w:val="000000"/>
                <w:sz w:val="18"/>
                <w:szCs w:val="18"/>
              </w:rPr>
            </w:pPr>
            <w:r>
              <w:rPr>
                <w:rFonts w:ascii="Arial" w:hAnsi="Arial" w:cs="Arial"/>
                <w:color w:val="000000"/>
                <w:sz w:val="18"/>
                <w:szCs w:val="18"/>
              </w:rPr>
              <w:t>6.4.2.2</w:t>
            </w:r>
          </w:p>
        </w:tc>
        <w:tc>
          <w:tcPr>
            <w:tcW w:w="3316" w:type="dxa"/>
            <w:noWrap/>
            <w:tcMar>
              <w:top w:w="0" w:type="dxa"/>
              <w:left w:w="108" w:type="dxa"/>
              <w:bottom w:w="0" w:type="dxa"/>
              <w:right w:w="108" w:type="dxa"/>
            </w:tcMar>
            <w:vAlign w:val="center"/>
            <w:hideMark/>
          </w:tcPr>
          <w:p>
            <w:pPr>
              <w:spacing w:after="0"/>
              <w:rPr>
                <w:rFonts w:ascii="Arial" w:hAnsi="Arial" w:cs="Arial"/>
                <w:color w:val="000000"/>
                <w:sz w:val="18"/>
                <w:szCs w:val="18"/>
              </w:rPr>
            </w:pPr>
            <w:r>
              <w:rPr>
                <w:rFonts w:ascii="Arial" w:hAnsi="Arial" w:cs="Arial"/>
                <w:color w:val="000000"/>
                <w:sz w:val="18"/>
                <w:szCs w:val="18"/>
              </w:rPr>
              <w:t>Carrier leakage</w:t>
            </w:r>
          </w:p>
        </w:tc>
        <w:tc>
          <w:tcPr>
            <w:tcW w:w="861" w:type="dxa"/>
          </w:tcPr>
          <w:p>
            <w:pPr>
              <w:spacing w:after="0"/>
              <w:rPr>
                <w:rFonts w:ascii="Arial" w:hAnsi="Arial" w:cs="Arial"/>
                <w:color w:val="000000"/>
                <w:sz w:val="18"/>
                <w:szCs w:val="18"/>
              </w:rPr>
            </w:pPr>
            <w:r>
              <w:rPr>
                <w:sz w:val="18"/>
                <w:szCs w:val="18"/>
              </w:rPr>
              <w:t>C001h</w:t>
            </w:r>
          </w:p>
        </w:tc>
        <w:tc>
          <w:tcPr>
            <w:tcW w:w="4525" w:type="dxa"/>
          </w:tcPr>
          <w:p>
            <w:pPr>
              <w:spacing w:after="0"/>
              <w:rPr>
                <w:sz w:val="18"/>
                <w:szCs w:val="18"/>
              </w:rPr>
            </w:pPr>
          </w:p>
        </w:tc>
      </w:tr>
      <w:tr>
        <w:trPr>
          <w:trHeight w:val="279"/>
          <w:jc w:val="center"/>
        </w:trPr>
        <w:tc>
          <w:tcPr>
            <w:tcW w:w="932" w:type="dxa"/>
            <w:tcMar>
              <w:top w:w="0" w:type="dxa"/>
              <w:left w:w="108" w:type="dxa"/>
              <w:bottom w:w="0" w:type="dxa"/>
              <w:right w:w="108" w:type="dxa"/>
            </w:tcMar>
            <w:vAlign w:val="center"/>
            <w:hideMark/>
          </w:tcPr>
          <w:p>
            <w:pPr>
              <w:spacing w:after="0"/>
              <w:rPr>
                <w:rFonts w:ascii="Arial" w:hAnsi="Arial" w:cs="Arial"/>
                <w:color w:val="000000"/>
                <w:sz w:val="18"/>
                <w:szCs w:val="18"/>
              </w:rPr>
            </w:pPr>
            <w:r>
              <w:rPr>
                <w:rFonts w:ascii="Arial" w:hAnsi="Arial" w:cs="Arial"/>
                <w:color w:val="000000"/>
                <w:sz w:val="18"/>
                <w:szCs w:val="18"/>
              </w:rPr>
              <w:lastRenderedPageBreak/>
              <w:t>6.4.2.3</w:t>
            </w:r>
          </w:p>
        </w:tc>
        <w:tc>
          <w:tcPr>
            <w:tcW w:w="3316" w:type="dxa"/>
            <w:noWrap/>
            <w:tcMar>
              <w:top w:w="0" w:type="dxa"/>
              <w:left w:w="108" w:type="dxa"/>
              <w:bottom w:w="0" w:type="dxa"/>
              <w:right w:w="108" w:type="dxa"/>
            </w:tcMar>
            <w:vAlign w:val="center"/>
            <w:hideMark/>
          </w:tcPr>
          <w:p>
            <w:pPr>
              <w:spacing w:after="0"/>
              <w:rPr>
                <w:rFonts w:ascii="Arial" w:hAnsi="Arial" w:cs="Arial"/>
                <w:color w:val="000000"/>
                <w:sz w:val="18"/>
                <w:szCs w:val="18"/>
              </w:rPr>
            </w:pPr>
            <w:r>
              <w:rPr>
                <w:rFonts w:ascii="Arial" w:hAnsi="Arial" w:cs="Arial"/>
                <w:color w:val="000000"/>
                <w:sz w:val="18"/>
                <w:szCs w:val="18"/>
              </w:rPr>
              <w:t>In-band emissions</w:t>
            </w:r>
          </w:p>
        </w:tc>
        <w:tc>
          <w:tcPr>
            <w:tcW w:w="861" w:type="dxa"/>
          </w:tcPr>
          <w:p>
            <w:pPr>
              <w:spacing w:after="0"/>
              <w:rPr>
                <w:rFonts w:ascii="Arial" w:hAnsi="Arial" w:cs="Arial"/>
                <w:color w:val="000000"/>
                <w:sz w:val="18"/>
                <w:szCs w:val="18"/>
              </w:rPr>
            </w:pPr>
            <w:r>
              <w:rPr>
                <w:sz w:val="18"/>
                <w:szCs w:val="18"/>
              </w:rPr>
              <w:t>C001h</w:t>
            </w:r>
          </w:p>
        </w:tc>
        <w:tc>
          <w:tcPr>
            <w:tcW w:w="4525" w:type="dxa"/>
          </w:tcPr>
          <w:p>
            <w:pPr>
              <w:spacing w:after="0"/>
              <w:rPr>
                <w:sz w:val="18"/>
                <w:szCs w:val="18"/>
              </w:rPr>
            </w:pPr>
          </w:p>
        </w:tc>
      </w:tr>
      <w:tr>
        <w:trPr>
          <w:trHeight w:val="269"/>
          <w:jc w:val="center"/>
        </w:trPr>
        <w:tc>
          <w:tcPr>
            <w:tcW w:w="932" w:type="dxa"/>
            <w:tcMar>
              <w:top w:w="0" w:type="dxa"/>
              <w:left w:w="108" w:type="dxa"/>
              <w:bottom w:w="0" w:type="dxa"/>
              <w:right w:w="108" w:type="dxa"/>
            </w:tcMar>
            <w:vAlign w:val="center"/>
            <w:hideMark/>
          </w:tcPr>
          <w:p>
            <w:pPr>
              <w:spacing w:after="0"/>
              <w:rPr>
                <w:rFonts w:ascii="Arial" w:hAnsi="Arial" w:cs="Arial"/>
                <w:color w:val="000000"/>
                <w:sz w:val="18"/>
                <w:szCs w:val="18"/>
              </w:rPr>
            </w:pPr>
            <w:r>
              <w:rPr>
                <w:rFonts w:ascii="Arial" w:hAnsi="Arial" w:cs="Arial"/>
                <w:color w:val="000000"/>
                <w:sz w:val="18"/>
                <w:szCs w:val="18"/>
              </w:rPr>
              <w:t>6.4.2.4</w:t>
            </w:r>
          </w:p>
        </w:tc>
        <w:tc>
          <w:tcPr>
            <w:tcW w:w="3316" w:type="dxa"/>
            <w:noWrap/>
            <w:tcMar>
              <w:top w:w="0" w:type="dxa"/>
              <w:left w:w="108" w:type="dxa"/>
              <w:bottom w:w="0" w:type="dxa"/>
              <w:right w:w="108" w:type="dxa"/>
            </w:tcMar>
            <w:vAlign w:val="center"/>
            <w:hideMark/>
          </w:tcPr>
          <w:p>
            <w:pPr>
              <w:spacing w:after="0"/>
              <w:rPr>
                <w:rFonts w:ascii="Arial" w:hAnsi="Arial" w:cs="Arial"/>
                <w:color w:val="000000"/>
                <w:sz w:val="18"/>
                <w:szCs w:val="18"/>
              </w:rPr>
            </w:pPr>
            <w:r>
              <w:rPr>
                <w:rFonts w:ascii="Arial" w:hAnsi="Arial" w:cs="Arial"/>
                <w:color w:val="000000"/>
                <w:sz w:val="18"/>
                <w:szCs w:val="18"/>
              </w:rPr>
              <w:t>EVM equalizer spectrum flatness</w:t>
            </w:r>
          </w:p>
        </w:tc>
        <w:tc>
          <w:tcPr>
            <w:tcW w:w="861" w:type="dxa"/>
          </w:tcPr>
          <w:p>
            <w:pPr>
              <w:spacing w:after="0"/>
              <w:rPr>
                <w:rFonts w:ascii="Arial" w:hAnsi="Arial" w:cs="Arial"/>
                <w:color w:val="000000"/>
                <w:sz w:val="18"/>
                <w:szCs w:val="18"/>
              </w:rPr>
            </w:pPr>
            <w:r>
              <w:rPr>
                <w:sz w:val="18"/>
                <w:szCs w:val="18"/>
              </w:rPr>
              <w:t>C001h</w:t>
            </w:r>
          </w:p>
        </w:tc>
        <w:tc>
          <w:tcPr>
            <w:tcW w:w="4525" w:type="dxa"/>
          </w:tcPr>
          <w:p>
            <w:pPr>
              <w:spacing w:after="0"/>
              <w:rPr>
                <w:sz w:val="18"/>
                <w:szCs w:val="18"/>
              </w:rPr>
            </w:pPr>
          </w:p>
        </w:tc>
      </w:tr>
      <w:tr>
        <w:trPr>
          <w:trHeight w:val="273"/>
          <w:jc w:val="center"/>
        </w:trPr>
        <w:tc>
          <w:tcPr>
            <w:tcW w:w="932" w:type="dxa"/>
            <w:tcMar>
              <w:top w:w="0" w:type="dxa"/>
              <w:left w:w="108" w:type="dxa"/>
              <w:bottom w:w="0" w:type="dxa"/>
              <w:right w:w="108" w:type="dxa"/>
            </w:tcMar>
            <w:vAlign w:val="center"/>
            <w:hideMark/>
          </w:tcPr>
          <w:p>
            <w:pPr>
              <w:spacing w:after="0"/>
              <w:rPr>
                <w:rFonts w:ascii="Arial" w:hAnsi="Arial" w:cs="Arial"/>
                <w:color w:val="000000"/>
                <w:sz w:val="18"/>
                <w:szCs w:val="18"/>
              </w:rPr>
            </w:pPr>
            <w:r>
              <w:rPr>
                <w:rFonts w:ascii="Arial" w:hAnsi="Arial" w:cs="Arial"/>
                <w:color w:val="000000"/>
                <w:sz w:val="18"/>
                <w:szCs w:val="18"/>
              </w:rPr>
              <w:t>6.4.2.5</w:t>
            </w:r>
          </w:p>
        </w:tc>
        <w:tc>
          <w:tcPr>
            <w:tcW w:w="3316" w:type="dxa"/>
            <w:noWrap/>
            <w:tcMar>
              <w:top w:w="0" w:type="dxa"/>
              <w:left w:w="108" w:type="dxa"/>
              <w:bottom w:w="0" w:type="dxa"/>
              <w:right w:w="108" w:type="dxa"/>
            </w:tcMar>
            <w:vAlign w:val="center"/>
            <w:hideMark/>
          </w:tcPr>
          <w:p>
            <w:pPr>
              <w:spacing w:after="0"/>
              <w:rPr>
                <w:rFonts w:ascii="Arial" w:hAnsi="Arial" w:cs="Arial"/>
                <w:color w:val="000000"/>
                <w:sz w:val="18"/>
                <w:szCs w:val="18"/>
              </w:rPr>
            </w:pPr>
            <w:r>
              <w:rPr>
                <w:rFonts w:ascii="Arial" w:hAnsi="Arial" w:cs="Arial"/>
                <w:color w:val="000000"/>
                <w:sz w:val="18"/>
                <w:szCs w:val="18"/>
              </w:rPr>
              <w:t>EVM equalizer spectrum flatness for Pi/2 BPSK</w:t>
            </w:r>
          </w:p>
        </w:tc>
        <w:tc>
          <w:tcPr>
            <w:tcW w:w="861" w:type="dxa"/>
          </w:tcPr>
          <w:p>
            <w:pPr>
              <w:pStyle w:val="Default"/>
              <w:rPr>
                <w:sz w:val="18"/>
                <w:szCs w:val="18"/>
              </w:rPr>
            </w:pPr>
            <w:r>
              <w:rPr>
                <w:sz w:val="18"/>
                <w:szCs w:val="18"/>
              </w:rPr>
              <w:t xml:space="preserve">C050 </w:t>
            </w:r>
          </w:p>
        </w:tc>
        <w:tc>
          <w:tcPr>
            <w:tcW w:w="4525" w:type="dxa"/>
          </w:tcPr>
          <w:p>
            <w:pPr>
              <w:pStyle w:val="Default"/>
              <w:rPr>
                <w:sz w:val="18"/>
                <w:szCs w:val="18"/>
              </w:rPr>
            </w:pPr>
            <w:r>
              <w:rPr>
                <w:sz w:val="18"/>
                <w:szCs w:val="18"/>
              </w:rPr>
              <w:t xml:space="preserve">UEs supporting 5GS FR1 Power Class 3 and pi/2-BPSK modulation scheme for power boosting in FR1and not supporting txDiversity-r16 </w:t>
            </w:r>
          </w:p>
        </w:tc>
      </w:tr>
      <w:tr>
        <w:trPr>
          <w:trHeight w:val="277"/>
          <w:jc w:val="center"/>
        </w:trPr>
        <w:tc>
          <w:tcPr>
            <w:tcW w:w="932" w:type="dxa"/>
            <w:tcMar>
              <w:top w:w="0" w:type="dxa"/>
              <w:left w:w="108" w:type="dxa"/>
              <w:bottom w:w="0" w:type="dxa"/>
              <w:right w:w="108" w:type="dxa"/>
            </w:tcMar>
            <w:vAlign w:val="center"/>
            <w:hideMark/>
          </w:tcPr>
          <w:p>
            <w:pPr>
              <w:spacing w:after="0"/>
              <w:rPr>
                <w:rFonts w:ascii="Arial" w:hAnsi="Arial" w:cs="Arial"/>
                <w:color w:val="000000"/>
                <w:sz w:val="18"/>
                <w:szCs w:val="18"/>
              </w:rPr>
            </w:pPr>
            <w:r>
              <w:rPr>
                <w:rFonts w:ascii="Arial" w:hAnsi="Arial" w:cs="Arial"/>
                <w:color w:val="000000"/>
                <w:sz w:val="18"/>
                <w:szCs w:val="18"/>
              </w:rPr>
              <w:t>6.5.1</w:t>
            </w:r>
          </w:p>
        </w:tc>
        <w:tc>
          <w:tcPr>
            <w:tcW w:w="3316" w:type="dxa"/>
            <w:noWrap/>
            <w:tcMar>
              <w:top w:w="0" w:type="dxa"/>
              <w:left w:w="108" w:type="dxa"/>
              <w:bottom w:w="0" w:type="dxa"/>
              <w:right w:w="108" w:type="dxa"/>
            </w:tcMar>
            <w:vAlign w:val="center"/>
            <w:hideMark/>
          </w:tcPr>
          <w:p>
            <w:pPr>
              <w:spacing w:after="0"/>
              <w:rPr>
                <w:rFonts w:ascii="Arial" w:hAnsi="Arial" w:cs="Arial"/>
                <w:color w:val="000000"/>
                <w:sz w:val="18"/>
                <w:szCs w:val="18"/>
              </w:rPr>
            </w:pPr>
            <w:r>
              <w:rPr>
                <w:rFonts w:ascii="Arial" w:hAnsi="Arial" w:cs="Arial"/>
                <w:color w:val="000000"/>
                <w:sz w:val="18"/>
                <w:szCs w:val="18"/>
              </w:rPr>
              <w:t>Occupied bandwidth</w:t>
            </w:r>
          </w:p>
        </w:tc>
        <w:tc>
          <w:tcPr>
            <w:tcW w:w="861" w:type="dxa"/>
          </w:tcPr>
          <w:p>
            <w:pPr>
              <w:spacing w:after="0"/>
              <w:rPr>
                <w:rFonts w:ascii="Arial" w:hAnsi="Arial" w:cs="Arial"/>
                <w:color w:val="000000"/>
                <w:sz w:val="18"/>
                <w:szCs w:val="18"/>
              </w:rPr>
            </w:pPr>
            <w:r>
              <w:rPr>
                <w:sz w:val="18"/>
                <w:szCs w:val="18"/>
              </w:rPr>
              <w:t>C001h</w:t>
            </w:r>
          </w:p>
        </w:tc>
        <w:tc>
          <w:tcPr>
            <w:tcW w:w="4525" w:type="dxa"/>
          </w:tcPr>
          <w:p>
            <w:pPr>
              <w:spacing w:after="0"/>
              <w:rPr>
                <w:sz w:val="18"/>
                <w:szCs w:val="18"/>
              </w:rPr>
            </w:pPr>
          </w:p>
        </w:tc>
      </w:tr>
      <w:tr>
        <w:trPr>
          <w:trHeight w:val="267"/>
          <w:jc w:val="center"/>
        </w:trPr>
        <w:tc>
          <w:tcPr>
            <w:tcW w:w="932" w:type="dxa"/>
            <w:tcMar>
              <w:top w:w="0" w:type="dxa"/>
              <w:left w:w="108" w:type="dxa"/>
              <w:bottom w:w="0" w:type="dxa"/>
              <w:right w:w="108" w:type="dxa"/>
            </w:tcMar>
            <w:vAlign w:val="center"/>
            <w:hideMark/>
          </w:tcPr>
          <w:p>
            <w:pPr>
              <w:spacing w:after="0"/>
              <w:rPr>
                <w:rFonts w:ascii="Arial" w:hAnsi="Arial" w:cs="Arial"/>
                <w:color w:val="000000"/>
                <w:sz w:val="18"/>
                <w:szCs w:val="18"/>
              </w:rPr>
            </w:pPr>
            <w:r>
              <w:rPr>
                <w:rFonts w:ascii="Arial" w:hAnsi="Arial" w:cs="Arial"/>
                <w:color w:val="000000"/>
                <w:sz w:val="18"/>
                <w:szCs w:val="18"/>
              </w:rPr>
              <w:t>6.5.2.2</w:t>
            </w:r>
          </w:p>
        </w:tc>
        <w:tc>
          <w:tcPr>
            <w:tcW w:w="3316" w:type="dxa"/>
            <w:noWrap/>
            <w:tcMar>
              <w:top w:w="0" w:type="dxa"/>
              <w:left w:w="108" w:type="dxa"/>
              <w:bottom w:w="0" w:type="dxa"/>
              <w:right w:w="108" w:type="dxa"/>
            </w:tcMar>
            <w:vAlign w:val="center"/>
            <w:hideMark/>
          </w:tcPr>
          <w:p>
            <w:pPr>
              <w:spacing w:after="0"/>
              <w:rPr>
                <w:rFonts w:ascii="Arial" w:hAnsi="Arial" w:cs="Arial"/>
                <w:color w:val="000000"/>
                <w:sz w:val="18"/>
                <w:szCs w:val="18"/>
              </w:rPr>
            </w:pPr>
            <w:r>
              <w:rPr>
                <w:rFonts w:ascii="Arial" w:hAnsi="Arial" w:cs="Arial"/>
                <w:color w:val="000000"/>
                <w:sz w:val="18"/>
                <w:szCs w:val="18"/>
              </w:rPr>
              <w:t>Spectrum emission mask</w:t>
            </w:r>
          </w:p>
        </w:tc>
        <w:tc>
          <w:tcPr>
            <w:tcW w:w="861" w:type="dxa"/>
          </w:tcPr>
          <w:p>
            <w:pPr>
              <w:spacing w:after="0"/>
              <w:rPr>
                <w:rFonts w:ascii="Arial" w:hAnsi="Arial" w:cs="Arial"/>
                <w:color w:val="000000"/>
                <w:sz w:val="18"/>
                <w:szCs w:val="18"/>
              </w:rPr>
            </w:pPr>
            <w:r>
              <w:rPr>
                <w:sz w:val="18"/>
                <w:szCs w:val="18"/>
              </w:rPr>
              <w:t>C001h</w:t>
            </w:r>
          </w:p>
        </w:tc>
        <w:tc>
          <w:tcPr>
            <w:tcW w:w="4525" w:type="dxa"/>
          </w:tcPr>
          <w:p>
            <w:pPr>
              <w:spacing w:after="0"/>
              <w:rPr>
                <w:sz w:val="18"/>
                <w:szCs w:val="18"/>
              </w:rPr>
            </w:pPr>
          </w:p>
        </w:tc>
      </w:tr>
      <w:tr>
        <w:trPr>
          <w:trHeight w:val="271"/>
          <w:jc w:val="center"/>
        </w:trPr>
        <w:tc>
          <w:tcPr>
            <w:tcW w:w="932" w:type="dxa"/>
            <w:tcMar>
              <w:top w:w="0" w:type="dxa"/>
              <w:left w:w="108" w:type="dxa"/>
              <w:bottom w:w="0" w:type="dxa"/>
              <w:right w:w="108" w:type="dxa"/>
            </w:tcMar>
            <w:vAlign w:val="center"/>
            <w:hideMark/>
          </w:tcPr>
          <w:p>
            <w:pPr>
              <w:spacing w:after="0"/>
              <w:rPr>
                <w:rFonts w:ascii="Arial" w:hAnsi="Arial" w:cs="Arial"/>
                <w:color w:val="000000"/>
                <w:sz w:val="18"/>
                <w:szCs w:val="18"/>
              </w:rPr>
            </w:pPr>
            <w:r>
              <w:rPr>
                <w:rFonts w:ascii="Arial" w:hAnsi="Arial" w:cs="Arial"/>
                <w:color w:val="000000"/>
                <w:sz w:val="18"/>
                <w:szCs w:val="18"/>
              </w:rPr>
              <w:t>6.5.2.3</w:t>
            </w:r>
          </w:p>
        </w:tc>
        <w:tc>
          <w:tcPr>
            <w:tcW w:w="3316" w:type="dxa"/>
            <w:noWrap/>
            <w:tcMar>
              <w:top w:w="0" w:type="dxa"/>
              <w:left w:w="108" w:type="dxa"/>
              <w:bottom w:w="0" w:type="dxa"/>
              <w:right w:w="108" w:type="dxa"/>
            </w:tcMar>
            <w:vAlign w:val="center"/>
            <w:hideMark/>
          </w:tcPr>
          <w:p>
            <w:pPr>
              <w:spacing w:after="0"/>
              <w:rPr>
                <w:rFonts w:ascii="Arial" w:hAnsi="Arial" w:cs="Arial"/>
                <w:color w:val="000000"/>
                <w:sz w:val="18"/>
                <w:szCs w:val="18"/>
              </w:rPr>
            </w:pPr>
            <w:r>
              <w:rPr>
                <w:rFonts w:ascii="Arial" w:hAnsi="Arial" w:cs="Arial"/>
                <w:color w:val="000000"/>
                <w:sz w:val="18"/>
                <w:szCs w:val="18"/>
              </w:rPr>
              <w:t>Additional spectrum emission mask</w:t>
            </w:r>
          </w:p>
        </w:tc>
        <w:tc>
          <w:tcPr>
            <w:tcW w:w="861" w:type="dxa"/>
          </w:tcPr>
          <w:p>
            <w:pPr>
              <w:spacing w:after="0"/>
              <w:rPr>
                <w:rFonts w:ascii="Arial" w:hAnsi="Arial" w:cs="Arial"/>
                <w:color w:val="000000"/>
                <w:sz w:val="18"/>
                <w:szCs w:val="18"/>
              </w:rPr>
            </w:pPr>
            <w:r>
              <w:rPr>
                <w:sz w:val="18"/>
                <w:szCs w:val="18"/>
              </w:rPr>
              <w:t>C001h</w:t>
            </w:r>
          </w:p>
        </w:tc>
        <w:tc>
          <w:tcPr>
            <w:tcW w:w="4525" w:type="dxa"/>
          </w:tcPr>
          <w:p>
            <w:pPr>
              <w:spacing w:after="0"/>
              <w:rPr>
                <w:sz w:val="18"/>
                <w:szCs w:val="18"/>
              </w:rPr>
            </w:pPr>
          </w:p>
        </w:tc>
      </w:tr>
      <w:tr>
        <w:trPr>
          <w:trHeight w:val="289"/>
          <w:jc w:val="center"/>
        </w:trPr>
        <w:tc>
          <w:tcPr>
            <w:tcW w:w="932" w:type="dxa"/>
            <w:tcMar>
              <w:top w:w="0" w:type="dxa"/>
              <w:left w:w="108" w:type="dxa"/>
              <w:bottom w:w="0" w:type="dxa"/>
              <w:right w:w="108" w:type="dxa"/>
            </w:tcMar>
            <w:vAlign w:val="center"/>
            <w:hideMark/>
          </w:tcPr>
          <w:p>
            <w:pPr>
              <w:spacing w:after="0"/>
              <w:rPr>
                <w:rFonts w:ascii="Arial" w:hAnsi="Arial" w:cs="Arial"/>
                <w:color w:val="000000"/>
                <w:sz w:val="18"/>
                <w:szCs w:val="18"/>
              </w:rPr>
            </w:pPr>
            <w:r>
              <w:rPr>
                <w:rFonts w:ascii="Arial" w:hAnsi="Arial" w:cs="Arial"/>
                <w:color w:val="000000"/>
                <w:sz w:val="18"/>
                <w:szCs w:val="18"/>
              </w:rPr>
              <w:t>6.5.2.4.1</w:t>
            </w:r>
          </w:p>
        </w:tc>
        <w:tc>
          <w:tcPr>
            <w:tcW w:w="3316" w:type="dxa"/>
            <w:noWrap/>
            <w:tcMar>
              <w:top w:w="0" w:type="dxa"/>
              <w:left w:w="108" w:type="dxa"/>
              <w:bottom w:w="0" w:type="dxa"/>
              <w:right w:w="108" w:type="dxa"/>
            </w:tcMar>
            <w:vAlign w:val="center"/>
            <w:hideMark/>
          </w:tcPr>
          <w:p>
            <w:pPr>
              <w:spacing w:after="0"/>
              <w:rPr>
                <w:rFonts w:ascii="Arial" w:hAnsi="Arial" w:cs="Arial"/>
                <w:color w:val="000000"/>
                <w:sz w:val="18"/>
                <w:szCs w:val="18"/>
              </w:rPr>
            </w:pPr>
            <w:r>
              <w:rPr>
                <w:rFonts w:ascii="Arial" w:hAnsi="Arial" w:cs="Arial"/>
                <w:color w:val="000000"/>
                <w:sz w:val="18"/>
                <w:szCs w:val="18"/>
              </w:rPr>
              <w:t>NR ACLR</w:t>
            </w:r>
          </w:p>
        </w:tc>
        <w:tc>
          <w:tcPr>
            <w:tcW w:w="861" w:type="dxa"/>
          </w:tcPr>
          <w:p>
            <w:pPr>
              <w:spacing w:after="0"/>
              <w:rPr>
                <w:rFonts w:ascii="Arial" w:hAnsi="Arial" w:cs="Arial"/>
                <w:color w:val="000000"/>
                <w:sz w:val="18"/>
                <w:szCs w:val="18"/>
              </w:rPr>
            </w:pPr>
            <w:r>
              <w:rPr>
                <w:sz w:val="18"/>
                <w:szCs w:val="18"/>
              </w:rPr>
              <w:t>C001h</w:t>
            </w:r>
          </w:p>
        </w:tc>
        <w:tc>
          <w:tcPr>
            <w:tcW w:w="4525" w:type="dxa"/>
          </w:tcPr>
          <w:p>
            <w:pPr>
              <w:spacing w:after="0"/>
              <w:rPr>
                <w:sz w:val="18"/>
                <w:szCs w:val="18"/>
              </w:rPr>
            </w:pPr>
          </w:p>
        </w:tc>
      </w:tr>
      <w:tr>
        <w:trPr>
          <w:trHeight w:val="265"/>
          <w:jc w:val="center"/>
        </w:trPr>
        <w:tc>
          <w:tcPr>
            <w:tcW w:w="932" w:type="dxa"/>
            <w:tcMar>
              <w:top w:w="0" w:type="dxa"/>
              <w:left w:w="108" w:type="dxa"/>
              <w:bottom w:w="0" w:type="dxa"/>
              <w:right w:w="108" w:type="dxa"/>
            </w:tcMar>
            <w:vAlign w:val="center"/>
            <w:hideMark/>
          </w:tcPr>
          <w:p>
            <w:pPr>
              <w:spacing w:after="0"/>
              <w:rPr>
                <w:rFonts w:ascii="Arial" w:hAnsi="Arial" w:cs="Arial"/>
                <w:color w:val="000000"/>
                <w:sz w:val="18"/>
                <w:szCs w:val="18"/>
              </w:rPr>
            </w:pPr>
            <w:r>
              <w:rPr>
                <w:rFonts w:ascii="Arial" w:hAnsi="Arial" w:cs="Arial"/>
                <w:color w:val="000000"/>
                <w:sz w:val="18"/>
                <w:szCs w:val="18"/>
              </w:rPr>
              <w:t>6.5.2.4.2</w:t>
            </w:r>
          </w:p>
        </w:tc>
        <w:tc>
          <w:tcPr>
            <w:tcW w:w="3316" w:type="dxa"/>
            <w:noWrap/>
            <w:tcMar>
              <w:top w:w="0" w:type="dxa"/>
              <w:left w:w="108" w:type="dxa"/>
              <w:bottom w:w="0" w:type="dxa"/>
              <w:right w:w="108" w:type="dxa"/>
            </w:tcMar>
            <w:vAlign w:val="center"/>
            <w:hideMark/>
          </w:tcPr>
          <w:p>
            <w:pPr>
              <w:spacing w:after="0"/>
              <w:rPr>
                <w:rFonts w:ascii="Arial" w:hAnsi="Arial" w:cs="Arial"/>
                <w:color w:val="000000"/>
                <w:sz w:val="18"/>
                <w:szCs w:val="18"/>
              </w:rPr>
            </w:pPr>
            <w:r>
              <w:rPr>
                <w:rFonts w:ascii="Arial" w:hAnsi="Arial" w:cs="Arial"/>
                <w:color w:val="000000"/>
                <w:sz w:val="18"/>
                <w:szCs w:val="18"/>
              </w:rPr>
              <w:t>UTRA ACLR</w:t>
            </w:r>
          </w:p>
        </w:tc>
        <w:tc>
          <w:tcPr>
            <w:tcW w:w="861" w:type="dxa"/>
          </w:tcPr>
          <w:p>
            <w:pPr>
              <w:pStyle w:val="Default"/>
              <w:rPr>
                <w:sz w:val="18"/>
                <w:szCs w:val="18"/>
              </w:rPr>
            </w:pPr>
            <w:r>
              <w:rPr>
                <w:sz w:val="18"/>
                <w:szCs w:val="18"/>
              </w:rPr>
              <w:t xml:space="preserve">C001a </w:t>
            </w:r>
          </w:p>
        </w:tc>
        <w:tc>
          <w:tcPr>
            <w:tcW w:w="4525" w:type="dxa"/>
          </w:tcPr>
          <w:p>
            <w:pPr>
              <w:pStyle w:val="Default"/>
              <w:rPr>
                <w:sz w:val="18"/>
                <w:szCs w:val="18"/>
              </w:rPr>
            </w:pPr>
            <w:r>
              <w:rPr>
                <w:sz w:val="18"/>
                <w:szCs w:val="18"/>
              </w:rPr>
              <w:t xml:space="preserve">UEs supporting 5GS FR1 PC3 not supporting txDiversity-r16 </w:t>
            </w:r>
          </w:p>
        </w:tc>
      </w:tr>
      <w:tr>
        <w:trPr>
          <w:trHeight w:val="269"/>
          <w:jc w:val="center"/>
        </w:trPr>
        <w:tc>
          <w:tcPr>
            <w:tcW w:w="932" w:type="dxa"/>
            <w:tcMar>
              <w:top w:w="0" w:type="dxa"/>
              <w:left w:w="108" w:type="dxa"/>
              <w:bottom w:w="0" w:type="dxa"/>
              <w:right w:w="108" w:type="dxa"/>
            </w:tcMar>
            <w:vAlign w:val="center"/>
            <w:hideMark/>
          </w:tcPr>
          <w:p>
            <w:pPr>
              <w:spacing w:after="0"/>
              <w:rPr>
                <w:rFonts w:ascii="Arial" w:hAnsi="Arial" w:cs="Arial"/>
                <w:color w:val="000000"/>
                <w:sz w:val="18"/>
                <w:szCs w:val="18"/>
              </w:rPr>
            </w:pPr>
            <w:r>
              <w:rPr>
                <w:rFonts w:ascii="Arial" w:hAnsi="Arial" w:cs="Arial"/>
                <w:color w:val="000000"/>
                <w:sz w:val="18"/>
                <w:szCs w:val="18"/>
              </w:rPr>
              <w:t>6.5.3.1</w:t>
            </w:r>
          </w:p>
        </w:tc>
        <w:tc>
          <w:tcPr>
            <w:tcW w:w="3316" w:type="dxa"/>
            <w:noWrap/>
            <w:tcMar>
              <w:top w:w="0" w:type="dxa"/>
              <w:left w:w="108" w:type="dxa"/>
              <w:bottom w:w="0" w:type="dxa"/>
              <w:right w:w="108" w:type="dxa"/>
            </w:tcMar>
            <w:vAlign w:val="center"/>
            <w:hideMark/>
          </w:tcPr>
          <w:p>
            <w:pPr>
              <w:spacing w:after="0"/>
              <w:rPr>
                <w:rFonts w:ascii="Arial" w:hAnsi="Arial" w:cs="Arial"/>
                <w:color w:val="000000"/>
                <w:sz w:val="18"/>
                <w:szCs w:val="18"/>
              </w:rPr>
            </w:pPr>
            <w:r>
              <w:rPr>
                <w:rFonts w:ascii="Arial" w:hAnsi="Arial" w:cs="Arial"/>
                <w:color w:val="000000"/>
                <w:sz w:val="18"/>
                <w:szCs w:val="18"/>
              </w:rPr>
              <w:t>General spurious emissions</w:t>
            </w:r>
          </w:p>
        </w:tc>
        <w:tc>
          <w:tcPr>
            <w:tcW w:w="861" w:type="dxa"/>
          </w:tcPr>
          <w:p>
            <w:pPr>
              <w:spacing w:after="0"/>
              <w:rPr>
                <w:rFonts w:ascii="Arial" w:hAnsi="Arial" w:cs="Arial"/>
                <w:color w:val="000000"/>
                <w:sz w:val="18"/>
                <w:szCs w:val="18"/>
              </w:rPr>
            </w:pPr>
            <w:r>
              <w:rPr>
                <w:sz w:val="18"/>
                <w:szCs w:val="18"/>
              </w:rPr>
              <w:t>C001h</w:t>
            </w:r>
          </w:p>
        </w:tc>
        <w:tc>
          <w:tcPr>
            <w:tcW w:w="4525" w:type="dxa"/>
          </w:tcPr>
          <w:p>
            <w:pPr>
              <w:spacing w:after="0"/>
              <w:rPr>
                <w:sz w:val="18"/>
                <w:szCs w:val="18"/>
              </w:rPr>
            </w:pPr>
          </w:p>
        </w:tc>
      </w:tr>
      <w:tr>
        <w:trPr>
          <w:trHeight w:val="287"/>
          <w:jc w:val="center"/>
        </w:trPr>
        <w:tc>
          <w:tcPr>
            <w:tcW w:w="932" w:type="dxa"/>
            <w:tcMar>
              <w:top w:w="0" w:type="dxa"/>
              <w:left w:w="108" w:type="dxa"/>
              <w:bottom w:w="0" w:type="dxa"/>
              <w:right w:w="108" w:type="dxa"/>
            </w:tcMar>
            <w:vAlign w:val="center"/>
            <w:hideMark/>
          </w:tcPr>
          <w:p>
            <w:pPr>
              <w:spacing w:after="0"/>
              <w:rPr>
                <w:rFonts w:ascii="Arial" w:hAnsi="Arial" w:cs="Arial"/>
                <w:color w:val="000000"/>
                <w:sz w:val="18"/>
                <w:szCs w:val="18"/>
              </w:rPr>
            </w:pPr>
            <w:r>
              <w:rPr>
                <w:rFonts w:ascii="Arial" w:hAnsi="Arial" w:cs="Arial"/>
                <w:color w:val="000000"/>
                <w:sz w:val="18"/>
                <w:szCs w:val="18"/>
              </w:rPr>
              <w:t>6.5.3.2</w:t>
            </w:r>
          </w:p>
        </w:tc>
        <w:tc>
          <w:tcPr>
            <w:tcW w:w="3316" w:type="dxa"/>
            <w:noWrap/>
            <w:tcMar>
              <w:top w:w="0" w:type="dxa"/>
              <w:left w:w="108" w:type="dxa"/>
              <w:bottom w:w="0" w:type="dxa"/>
              <w:right w:w="108" w:type="dxa"/>
            </w:tcMar>
            <w:vAlign w:val="center"/>
            <w:hideMark/>
          </w:tcPr>
          <w:p>
            <w:pPr>
              <w:spacing w:after="0"/>
              <w:rPr>
                <w:rFonts w:ascii="Arial" w:hAnsi="Arial" w:cs="Arial"/>
                <w:color w:val="000000"/>
                <w:sz w:val="18"/>
                <w:szCs w:val="18"/>
              </w:rPr>
            </w:pPr>
            <w:r>
              <w:rPr>
                <w:rFonts w:ascii="Arial" w:hAnsi="Arial" w:cs="Arial"/>
                <w:color w:val="000000"/>
                <w:sz w:val="18"/>
                <w:szCs w:val="18"/>
              </w:rPr>
              <w:t>Spurious emissions for UE co-existence</w:t>
            </w:r>
          </w:p>
        </w:tc>
        <w:tc>
          <w:tcPr>
            <w:tcW w:w="861" w:type="dxa"/>
          </w:tcPr>
          <w:p>
            <w:pPr>
              <w:spacing w:after="0"/>
              <w:rPr>
                <w:rFonts w:ascii="Arial" w:hAnsi="Arial" w:cs="Arial"/>
                <w:color w:val="000000"/>
                <w:sz w:val="18"/>
                <w:szCs w:val="18"/>
              </w:rPr>
            </w:pPr>
            <w:r>
              <w:rPr>
                <w:sz w:val="18"/>
                <w:szCs w:val="18"/>
              </w:rPr>
              <w:t>C001h</w:t>
            </w:r>
          </w:p>
        </w:tc>
        <w:tc>
          <w:tcPr>
            <w:tcW w:w="4525" w:type="dxa"/>
          </w:tcPr>
          <w:p>
            <w:pPr>
              <w:spacing w:after="0"/>
              <w:rPr>
                <w:sz w:val="18"/>
                <w:szCs w:val="18"/>
              </w:rPr>
            </w:pPr>
          </w:p>
        </w:tc>
      </w:tr>
      <w:tr>
        <w:trPr>
          <w:trHeight w:val="263"/>
          <w:jc w:val="center"/>
        </w:trPr>
        <w:tc>
          <w:tcPr>
            <w:tcW w:w="932" w:type="dxa"/>
            <w:tcMar>
              <w:top w:w="0" w:type="dxa"/>
              <w:left w:w="108" w:type="dxa"/>
              <w:bottom w:w="0" w:type="dxa"/>
              <w:right w:w="108" w:type="dxa"/>
            </w:tcMar>
            <w:vAlign w:val="center"/>
            <w:hideMark/>
          </w:tcPr>
          <w:p>
            <w:pPr>
              <w:spacing w:after="0"/>
              <w:rPr>
                <w:rFonts w:ascii="Arial" w:hAnsi="Arial" w:cs="Arial"/>
                <w:color w:val="000000"/>
                <w:sz w:val="18"/>
                <w:szCs w:val="18"/>
              </w:rPr>
            </w:pPr>
            <w:r>
              <w:rPr>
                <w:rFonts w:ascii="Arial" w:hAnsi="Arial" w:cs="Arial"/>
                <w:color w:val="000000"/>
                <w:sz w:val="18"/>
                <w:szCs w:val="18"/>
              </w:rPr>
              <w:t>6.5.3.3</w:t>
            </w:r>
          </w:p>
        </w:tc>
        <w:tc>
          <w:tcPr>
            <w:tcW w:w="3316" w:type="dxa"/>
            <w:noWrap/>
            <w:tcMar>
              <w:top w:w="0" w:type="dxa"/>
              <w:left w:w="108" w:type="dxa"/>
              <w:bottom w:w="0" w:type="dxa"/>
              <w:right w:w="108" w:type="dxa"/>
            </w:tcMar>
            <w:vAlign w:val="center"/>
            <w:hideMark/>
          </w:tcPr>
          <w:p>
            <w:pPr>
              <w:spacing w:after="0"/>
              <w:rPr>
                <w:rFonts w:ascii="Arial" w:hAnsi="Arial" w:cs="Arial"/>
                <w:color w:val="000000"/>
                <w:sz w:val="18"/>
                <w:szCs w:val="18"/>
              </w:rPr>
            </w:pPr>
            <w:r>
              <w:rPr>
                <w:rFonts w:ascii="Arial" w:hAnsi="Arial" w:cs="Arial"/>
                <w:color w:val="000000"/>
                <w:sz w:val="18"/>
                <w:szCs w:val="18"/>
              </w:rPr>
              <w:t>Additional spurious emissions</w:t>
            </w:r>
          </w:p>
        </w:tc>
        <w:tc>
          <w:tcPr>
            <w:tcW w:w="861" w:type="dxa"/>
          </w:tcPr>
          <w:p>
            <w:pPr>
              <w:spacing w:after="0"/>
              <w:rPr>
                <w:rFonts w:ascii="Arial" w:hAnsi="Arial" w:cs="Arial"/>
                <w:color w:val="000000"/>
                <w:sz w:val="18"/>
                <w:szCs w:val="18"/>
              </w:rPr>
            </w:pPr>
            <w:r>
              <w:rPr>
                <w:sz w:val="18"/>
                <w:szCs w:val="18"/>
              </w:rPr>
              <w:t>C001h</w:t>
            </w:r>
          </w:p>
        </w:tc>
        <w:tc>
          <w:tcPr>
            <w:tcW w:w="4525" w:type="dxa"/>
          </w:tcPr>
          <w:p>
            <w:pPr>
              <w:spacing w:after="0"/>
              <w:rPr>
                <w:sz w:val="18"/>
                <w:szCs w:val="18"/>
              </w:rPr>
            </w:pPr>
          </w:p>
        </w:tc>
      </w:tr>
      <w:tr>
        <w:trPr>
          <w:trHeight w:val="281"/>
          <w:jc w:val="center"/>
        </w:trPr>
        <w:tc>
          <w:tcPr>
            <w:tcW w:w="932" w:type="dxa"/>
            <w:tcMar>
              <w:top w:w="0" w:type="dxa"/>
              <w:left w:w="108" w:type="dxa"/>
              <w:bottom w:w="0" w:type="dxa"/>
              <w:right w:w="108" w:type="dxa"/>
            </w:tcMar>
            <w:vAlign w:val="center"/>
            <w:hideMark/>
          </w:tcPr>
          <w:p>
            <w:pPr>
              <w:spacing w:after="0"/>
              <w:rPr>
                <w:rFonts w:ascii="Arial" w:hAnsi="Arial" w:cs="Arial"/>
                <w:color w:val="000000"/>
                <w:sz w:val="18"/>
                <w:szCs w:val="18"/>
              </w:rPr>
            </w:pPr>
            <w:r>
              <w:rPr>
                <w:rFonts w:ascii="Arial" w:hAnsi="Arial" w:cs="Arial"/>
                <w:color w:val="000000"/>
                <w:sz w:val="18"/>
                <w:szCs w:val="18"/>
              </w:rPr>
              <w:t>6.5.4</w:t>
            </w:r>
          </w:p>
        </w:tc>
        <w:tc>
          <w:tcPr>
            <w:tcW w:w="3316" w:type="dxa"/>
            <w:noWrap/>
            <w:tcMar>
              <w:top w:w="0" w:type="dxa"/>
              <w:left w:w="108" w:type="dxa"/>
              <w:bottom w:w="0" w:type="dxa"/>
              <w:right w:w="108" w:type="dxa"/>
            </w:tcMar>
            <w:vAlign w:val="center"/>
            <w:hideMark/>
          </w:tcPr>
          <w:p>
            <w:pPr>
              <w:spacing w:after="0"/>
              <w:rPr>
                <w:rFonts w:ascii="Arial" w:hAnsi="Arial" w:cs="Arial"/>
                <w:color w:val="000000"/>
                <w:sz w:val="18"/>
                <w:szCs w:val="18"/>
              </w:rPr>
            </w:pPr>
            <w:r>
              <w:rPr>
                <w:rFonts w:ascii="Arial" w:hAnsi="Arial" w:cs="Arial"/>
                <w:color w:val="000000"/>
                <w:sz w:val="18"/>
                <w:szCs w:val="18"/>
              </w:rPr>
              <w:t>Transmit intermodulation</w:t>
            </w:r>
          </w:p>
        </w:tc>
        <w:tc>
          <w:tcPr>
            <w:tcW w:w="861" w:type="dxa"/>
          </w:tcPr>
          <w:p>
            <w:pPr>
              <w:spacing w:after="0"/>
              <w:rPr>
                <w:rFonts w:ascii="Arial" w:hAnsi="Arial" w:cs="Arial"/>
                <w:color w:val="000000"/>
                <w:sz w:val="18"/>
                <w:szCs w:val="18"/>
              </w:rPr>
            </w:pPr>
            <w:r>
              <w:rPr>
                <w:sz w:val="18"/>
                <w:szCs w:val="18"/>
              </w:rPr>
              <w:t>C001h</w:t>
            </w:r>
          </w:p>
        </w:tc>
        <w:tc>
          <w:tcPr>
            <w:tcW w:w="4525" w:type="dxa"/>
          </w:tcPr>
          <w:p>
            <w:pPr>
              <w:spacing w:after="0"/>
              <w:rPr>
                <w:sz w:val="18"/>
                <w:szCs w:val="18"/>
              </w:rPr>
            </w:pPr>
          </w:p>
        </w:tc>
      </w:tr>
    </w:tbl>
    <w:p>
      <w:pPr>
        <w:rPr>
          <w:sz w:val="22"/>
          <w:szCs w:val="22"/>
        </w:rPr>
      </w:pPr>
    </w:p>
    <w:p>
      <w:pPr>
        <w:rPr>
          <w:sz w:val="22"/>
          <w:szCs w:val="22"/>
        </w:rPr>
      </w:pPr>
      <w:proofErr w:type="gramStart"/>
      <w:r>
        <w:rPr>
          <w:sz w:val="22"/>
          <w:szCs w:val="22"/>
        </w:rPr>
        <w:t>Similar to</w:t>
      </w:r>
      <w:proofErr w:type="gramEnd"/>
      <w:r>
        <w:rPr>
          <w:sz w:val="22"/>
          <w:szCs w:val="22"/>
        </w:rPr>
        <w:t xml:space="preserve"> reference sensitivity, test cases 6.2.1, 6.2.2, 6.2.3 and 6.2.4 will be required for RedCap UE.  This is redundant as they are already covered in 6.2I.x.  The test applicability condition should be modified to avoid this redundancy.</w:t>
      </w:r>
    </w:p>
    <w:p>
      <w:pPr>
        <w:rPr>
          <w:sz w:val="22"/>
          <w:szCs w:val="22"/>
        </w:rPr>
      </w:pPr>
      <w:r>
        <w:rPr>
          <w:sz w:val="22"/>
          <w:szCs w:val="22"/>
        </w:rPr>
        <w:t xml:space="preserve">The new test condition C001x suggested above shall be used instead. </w:t>
      </w:r>
    </w:p>
    <w:p>
      <w:pPr>
        <w:spacing w:after="0"/>
        <w:rPr>
          <w:b/>
          <w:bCs/>
          <w:sz w:val="22"/>
          <w:szCs w:val="22"/>
        </w:rPr>
      </w:pPr>
      <w:r>
        <w:rPr>
          <w:b/>
          <w:bCs/>
          <w:sz w:val="22"/>
          <w:szCs w:val="22"/>
        </w:rPr>
        <w:t>Observation 1</w:t>
      </w:r>
    </w:p>
    <w:p>
      <w:pPr>
        <w:rPr>
          <w:sz w:val="22"/>
          <w:szCs w:val="22"/>
        </w:rPr>
      </w:pPr>
      <w:r>
        <w:rPr>
          <w:sz w:val="22"/>
          <w:szCs w:val="22"/>
        </w:rPr>
        <w:t>With current test applicability conditions defined in TS 38.522 [2], reference sensitivity and transmit output power test cases will be executed twice for RedCap UE.</w:t>
      </w:r>
    </w:p>
    <w:p>
      <w:pPr>
        <w:spacing w:after="0"/>
        <w:rPr>
          <w:b/>
          <w:bCs/>
          <w:sz w:val="22"/>
          <w:szCs w:val="22"/>
        </w:rPr>
      </w:pPr>
      <w:r>
        <w:rPr>
          <w:b/>
          <w:bCs/>
          <w:sz w:val="22"/>
          <w:szCs w:val="22"/>
        </w:rPr>
        <w:t>Proposal 1</w:t>
      </w:r>
    </w:p>
    <w:p>
      <w:pPr>
        <w:spacing w:after="0"/>
        <w:rPr>
          <w:sz w:val="22"/>
          <w:szCs w:val="22"/>
        </w:rPr>
      </w:pPr>
      <w:r>
        <w:rPr>
          <w:sz w:val="22"/>
          <w:szCs w:val="22"/>
        </w:rPr>
        <w:t xml:space="preserve">Modify applicability condition of clauses 7.3.2 and 6.2.x to exclude REDCAP supporting UE </w:t>
      </w:r>
    </w:p>
    <w:p>
      <w:pPr>
        <w:pStyle w:val="Default"/>
        <w:rPr>
          <w:rFonts w:ascii="Times New Roman" w:hAnsi="Times New Roman" w:cs="Times New Roman"/>
          <w:sz w:val="22"/>
          <w:szCs w:val="22"/>
        </w:rPr>
      </w:pPr>
      <w:r>
        <w:rPr>
          <w:rFonts w:ascii="Times New Roman" w:hAnsi="Times New Roman" w:cs="Times New Roman"/>
          <w:color w:val="auto"/>
          <w:sz w:val="22"/>
          <w:szCs w:val="22"/>
          <w:lang w:val="en-GB" w:eastAsia="en-US"/>
        </w:rPr>
        <w:t>Proposed condition</w:t>
      </w:r>
      <w:r>
        <w:rPr>
          <w:rFonts w:ascii="Times New Roman" w:hAnsi="Times New Roman" w:cs="Times New Roman"/>
          <w:sz w:val="22"/>
          <w:szCs w:val="22"/>
        </w:rPr>
        <w:t xml:space="preserve">: C001x: IF (A.4.1-1/1 OR A.4.1-1/2) AND A.4.1-2/7 AND A.4.1-3/1 AND NOT (A.4.3.2-1/84 OR A.4.3.12-1/2) THEN R ELSE N/A </w:t>
      </w:r>
    </w:p>
    <w:p>
      <w:pPr>
        <w:rPr>
          <w:sz w:val="22"/>
          <w:szCs w:val="22"/>
        </w:rPr>
      </w:pPr>
    </w:p>
    <w:p>
      <w:pPr>
        <w:pStyle w:val="Heading2"/>
        <w:rPr>
          <w:sz w:val="28"/>
          <w:szCs w:val="28"/>
        </w:rPr>
      </w:pPr>
      <w:r>
        <w:rPr>
          <w:sz w:val="28"/>
          <w:szCs w:val="28"/>
        </w:rPr>
        <w:t>2.3 Summary</w:t>
      </w:r>
    </w:p>
    <w:p>
      <w:pPr>
        <w:rPr>
          <w:sz w:val="22"/>
          <w:szCs w:val="22"/>
        </w:rPr>
      </w:pPr>
      <w:r>
        <w:rPr>
          <w:sz w:val="22"/>
          <w:szCs w:val="22"/>
        </w:rPr>
        <w:t>To summarize, the following observation and proposal are presented in this discussion:</w:t>
      </w:r>
    </w:p>
    <w:p>
      <w:pPr>
        <w:spacing w:after="0"/>
        <w:rPr>
          <w:b/>
          <w:bCs/>
          <w:sz w:val="22"/>
          <w:szCs w:val="22"/>
        </w:rPr>
      </w:pPr>
      <w:r>
        <w:rPr>
          <w:b/>
          <w:bCs/>
          <w:sz w:val="22"/>
          <w:szCs w:val="22"/>
        </w:rPr>
        <w:t>Observation 1</w:t>
      </w:r>
    </w:p>
    <w:p>
      <w:pPr>
        <w:rPr>
          <w:sz w:val="22"/>
          <w:szCs w:val="22"/>
        </w:rPr>
      </w:pPr>
      <w:r>
        <w:rPr>
          <w:sz w:val="22"/>
          <w:szCs w:val="22"/>
        </w:rPr>
        <w:t>With current test applicability conditions defined in TS 38.522[2], reference sensitivity and transmit output power test cases will be executed twice for RedCap UE.</w:t>
      </w:r>
    </w:p>
    <w:p>
      <w:pPr>
        <w:spacing w:after="0"/>
        <w:rPr>
          <w:b/>
          <w:bCs/>
          <w:sz w:val="22"/>
          <w:szCs w:val="22"/>
        </w:rPr>
      </w:pPr>
      <w:r>
        <w:rPr>
          <w:b/>
          <w:bCs/>
          <w:sz w:val="22"/>
          <w:szCs w:val="22"/>
        </w:rPr>
        <w:t>Proposal 1</w:t>
      </w:r>
    </w:p>
    <w:p>
      <w:pPr>
        <w:spacing w:after="0"/>
        <w:rPr>
          <w:sz w:val="22"/>
          <w:szCs w:val="22"/>
        </w:rPr>
      </w:pPr>
      <w:r>
        <w:rPr>
          <w:sz w:val="22"/>
          <w:szCs w:val="22"/>
        </w:rPr>
        <w:t xml:space="preserve">Modify the applicability condition of  clause 7.3.2 and 6.2.x to exclude REDCAP supporting UE </w:t>
      </w:r>
    </w:p>
    <w:p>
      <w:pPr>
        <w:spacing w:after="0"/>
        <w:rPr>
          <w:sz w:val="22"/>
          <w:szCs w:val="22"/>
        </w:rPr>
      </w:pPr>
      <w:r>
        <w:rPr>
          <w:sz w:val="22"/>
          <w:szCs w:val="22"/>
        </w:rPr>
        <w:t xml:space="preserve">Proposed condition: C001x: IF (A.4.1-1/1 OR A.4.1-1/2) AND A.4.1-2/7 AND A.4.1-3/1 AND NOT (A.4.3.2-1/84 OR A.4.3.12-1/2) THEN R ELSE N/A </w:t>
      </w:r>
    </w:p>
    <w:p>
      <w:pPr>
        <w:spacing w:after="0"/>
        <w:rPr>
          <w:sz w:val="22"/>
          <w:szCs w:val="22"/>
        </w:rPr>
      </w:pPr>
    </w:p>
    <w:bookmarkEnd w:id="2"/>
    <w:p>
      <w:pPr>
        <w:pStyle w:val="Heading1"/>
        <w:ind w:left="567" w:hanging="567"/>
      </w:pPr>
      <w:r>
        <w:t xml:space="preserve">3. </w:t>
      </w:r>
      <w:r>
        <w:tab/>
        <w:t>Conclusion</w:t>
      </w:r>
    </w:p>
    <w:p>
      <w:pPr>
        <w:rPr>
          <w:i/>
          <w:iCs/>
          <w:sz w:val="22"/>
          <w:szCs w:val="22"/>
        </w:rPr>
      </w:pPr>
      <w:r>
        <w:rPr>
          <w:bCs/>
          <w:sz w:val="22"/>
          <w:szCs w:val="22"/>
        </w:rPr>
        <w:t xml:space="preserve">Based on the above discussion, one proposal is presented to modify the test condition </w:t>
      </w:r>
      <w:proofErr w:type="gramStart"/>
      <w:r>
        <w:rPr>
          <w:bCs/>
          <w:sz w:val="22"/>
          <w:szCs w:val="22"/>
        </w:rPr>
        <w:t>in order to</w:t>
      </w:r>
      <w:proofErr w:type="gramEnd"/>
      <w:r>
        <w:rPr>
          <w:bCs/>
          <w:sz w:val="22"/>
          <w:szCs w:val="22"/>
        </w:rPr>
        <w:t xml:space="preserve"> avoid unnecessary repetition of the same test case.</w:t>
      </w:r>
      <w:r>
        <w:rPr>
          <w:b/>
          <w:sz w:val="22"/>
          <w:szCs w:val="22"/>
        </w:rPr>
        <w:t xml:space="preserve"> </w:t>
      </w:r>
    </w:p>
    <w:p>
      <w:pPr>
        <w:pStyle w:val="Heading1"/>
        <w:ind w:left="567" w:hanging="567"/>
      </w:pPr>
      <w:r>
        <w:t xml:space="preserve">4. </w:t>
      </w:r>
      <w:r>
        <w:tab/>
        <w:t>References</w:t>
      </w:r>
    </w:p>
    <w:p>
      <w:pPr>
        <w:numPr>
          <w:ilvl w:val="0"/>
          <w:numId w:val="2"/>
        </w:numPr>
        <w:tabs>
          <w:tab w:val="left" w:pos="426"/>
        </w:tabs>
        <w:overflowPunct w:val="0"/>
        <w:autoSpaceDE w:val="0"/>
        <w:autoSpaceDN w:val="0"/>
        <w:adjustRightInd w:val="0"/>
        <w:ind w:left="426" w:hanging="426"/>
        <w:textAlignment w:val="baseline"/>
      </w:pPr>
      <w:r>
        <w:rPr>
          <w:sz w:val="22"/>
          <w:szCs w:val="22"/>
        </w:rPr>
        <w:t xml:space="preserve">3GPP TS 38.521-1 </w:t>
      </w:r>
      <w:r>
        <w:t>"User Equipment (UE) conformance specification; Radio transmission and reception; Part 1: Range 1 Standalone”. Revision  V17.7.0 (2023-02)</w:t>
      </w:r>
    </w:p>
    <w:p>
      <w:pPr>
        <w:numPr>
          <w:ilvl w:val="0"/>
          <w:numId w:val="2"/>
        </w:numPr>
        <w:tabs>
          <w:tab w:val="left" w:pos="426"/>
        </w:tabs>
        <w:overflowPunct w:val="0"/>
        <w:autoSpaceDE w:val="0"/>
        <w:autoSpaceDN w:val="0"/>
        <w:adjustRightInd w:val="0"/>
        <w:textAlignment w:val="baseline"/>
      </w:pPr>
      <w:r>
        <w:lastRenderedPageBreak/>
        <w:t>3GPP TS 38.522 " User Equipment (UE) conformance specification; Applicability of radio transmission, radio reception and radio resource management test cases",  Revision  V17.7.0 (2022-12)</w:t>
      </w:r>
    </w:p>
    <w:p>
      <w:pPr>
        <w:tabs>
          <w:tab w:val="left" w:pos="426"/>
        </w:tabs>
        <w:overflowPunct w:val="0"/>
        <w:autoSpaceDE w:val="0"/>
        <w:autoSpaceDN w:val="0"/>
        <w:adjustRightInd w:val="0"/>
        <w:textAlignment w:val="baseline"/>
      </w:pPr>
    </w:p>
    <w:p>
      <w:pPr>
        <w:rPr>
          <w:noProof/>
        </w:rPr>
      </w:pPr>
    </w:p>
    <w:sectPr>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514F33"/>
    <w:multiLevelType w:val="hybridMultilevel"/>
    <w:tmpl w:val="4D30BB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E165EE5"/>
    <w:multiLevelType w:val="hybridMultilevel"/>
    <w:tmpl w:val="89E491F2"/>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 w15:restartNumberingAfterBreak="0">
    <w:nsid w:val="22DB5D67"/>
    <w:multiLevelType w:val="multilevel"/>
    <w:tmpl w:val="E25C9D5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49658E0"/>
    <w:multiLevelType w:val="hybridMultilevel"/>
    <w:tmpl w:val="A86809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C008C1"/>
    <w:multiLevelType w:val="hybridMultilevel"/>
    <w:tmpl w:val="AB42730E"/>
    <w:lvl w:ilvl="0" w:tplc="04090019">
      <w:start w:val="1"/>
      <w:numFmt w:val="lowerLetter"/>
      <w:lvlText w:val="%1."/>
      <w:lvlJc w:val="left"/>
      <w:pPr>
        <w:ind w:left="645" w:hanging="360"/>
      </w:pPr>
      <w:rPr>
        <w:rFonts w:hint="default"/>
        <w:b/>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6" w15:restartNumberingAfterBreak="0">
    <w:nsid w:val="481C0F5A"/>
    <w:multiLevelType w:val="hybridMultilevel"/>
    <w:tmpl w:val="7D1E6CAC"/>
    <w:lvl w:ilvl="0" w:tplc="EA38EC7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DDE7251"/>
    <w:multiLevelType w:val="hybridMultilevel"/>
    <w:tmpl w:val="AF8C132E"/>
    <w:lvl w:ilvl="0" w:tplc="137028D2">
      <w:start w:val="1"/>
      <w:numFmt w:val="bullet"/>
      <w:lvlText w:val="-"/>
      <w:lvlJc w:val="left"/>
      <w:pPr>
        <w:tabs>
          <w:tab w:val="num" w:pos="720"/>
        </w:tabs>
        <w:ind w:left="720" w:hanging="360"/>
      </w:pPr>
      <w:rPr>
        <w:rFonts w:ascii="Times New Roman" w:hAnsi="Times New Roman" w:hint="default"/>
      </w:rPr>
    </w:lvl>
    <w:lvl w:ilvl="1" w:tplc="8D6CCD86" w:tentative="1">
      <w:start w:val="1"/>
      <w:numFmt w:val="bullet"/>
      <w:lvlText w:val="-"/>
      <w:lvlJc w:val="left"/>
      <w:pPr>
        <w:tabs>
          <w:tab w:val="num" w:pos="1440"/>
        </w:tabs>
        <w:ind w:left="1440" w:hanging="360"/>
      </w:pPr>
      <w:rPr>
        <w:rFonts w:ascii="Times New Roman" w:hAnsi="Times New Roman" w:hint="default"/>
      </w:rPr>
    </w:lvl>
    <w:lvl w:ilvl="2" w:tplc="3DA42176" w:tentative="1">
      <w:start w:val="1"/>
      <w:numFmt w:val="bullet"/>
      <w:lvlText w:val="-"/>
      <w:lvlJc w:val="left"/>
      <w:pPr>
        <w:tabs>
          <w:tab w:val="num" w:pos="2160"/>
        </w:tabs>
        <w:ind w:left="2160" w:hanging="360"/>
      </w:pPr>
      <w:rPr>
        <w:rFonts w:ascii="Times New Roman" w:hAnsi="Times New Roman" w:hint="default"/>
      </w:rPr>
    </w:lvl>
    <w:lvl w:ilvl="3" w:tplc="23FCCCDC" w:tentative="1">
      <w:start w:val="1"/>
      <w:numFmt w:val="bullet"/>
      <w:lvlText w:val="-"/>
      <w:lvlJc w:val="left"/>
      <w:pPr>
        <w:tabs>
          <w:tab w:val="num" w:pos="2880"/>
        </w:tabs>
        <w:ind w:left="2880" w:hanging="360"/>
      </w:pPr>
      <w:rPr>
        <w:rFonts w:ascii="Times New Roman" w:hAnsi="Times New Roman" w:hint="default"/>
      </w:rPr>
    </w:lvl>
    <w:lvl w:ilvl="4" w:tplc="B8B4452A" w:tentative="1">
      <w:start w:val="1"/>
      <w:numFmt w:val="bullet"/>
      <w:lvlText w:val="-"/>
      <w:lvlJc w:val="left"/>
      <w:pPr>
        <w:tabs>
          <w:tab w:val="num" w:pos="3600"/>
        </w:tabs>
        <w:ind w:left="3600" w:hanging="360"/>
      </w:pPr>
      <w:rPr>
        <w:rFonts w:ascii="Times New Roman" w:hAnsi="Times New Roman" w:hint="default"/>
      </w:rPr>
    </w:lvl>
    <w:lvl w:ilvl="5" w:tplc="D94E08E8" w:tentative="1">
      <w:start w:val="1"/>
      <w:numFmt w:val="bullet"/>
      <w:lvlText w:val="-"/>
      <w:lvlJc w:val="left"/>
      <w:pPr>
        <w:tabs>
          <w:tab w:val="num" w:pos="4320"/>
        </w:tabs>
        <w:ind w:left="4320" w:hanging="360"/>
      </w:pPr>
      <w:rPr>
        <w:rFonts w:ascii="Times New Roman" w:hAnsi="Times New Roman" w:hint="default"/>
      </w:rPr>
    </w:lvl>
    <w:lvl w:ilvl="6" w:tplc="1A847A16" w:tentative="1">
      <w:start w:val="1"/>
      <w:numFmt w:val="bullet"/>
      <w:lvlText w:val="-"/>
      <w:lvlJc w:val="left"/>
      <w:pPr>
        <w:tabs>
          <w:tab w:val="num" w:pos="5040"/>
        </w:tabs>
        <w:ind w:left="5040" w:hanging="360"/>
      </w:pPr>
      <w:rPr>
        <w:rFonts w:ascii="Times New Roman" w:hAnsi="Times New Roman" w:hint="default"/>
      </w:rPr>
    </w:lvl>
    <w:lvl w:ilvl="7" w:tplc="3C7CE0E8" w:tentative="1">
      <w:start w:val="1"/>
      <w:numFmt w:val="bullet"/>
      <w:lvlText w:val="-"/>
      <w:lvlJc w:val="left"/>
      <w:pPr>
        <w:tabs>
          <w:tab w:val="num" w:pos="5760"/>
        </w:tabs>
        <w:ind w:left="5760" w:hanging="360"/>
      </w:pPr>
      <w:rPr>
        <w:rFonts w:ascii="Times New Roman" w:hAnsi="Times New Roman" w:hint="default"/>
      </w:rPr>
    </w:lvl>
    <w:lvl w:ilvl="8" w:tplc="B6C2B63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6B601EC2"/>
    <w:multiLevelType w:val="hybridMultilevel"/>
    <w:tmpl w:val="4E14D13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B6541F1"/>
    <w:multiLevelType w:val="hybridMultilevel"/>
    <w:tmpl w:val="AB42730E"/>
    <w:lvl w:ilvl="0" w:tplc="04090019">
      <w:start w:val="1"/>
      <w:numFmt w:val="lowerLetter"/>
      <w:lvlText w:val="%1."/>
      <w:lvlJc w:val="left"/>
      <w:pPr>
        <w:ind w:left="645" w:hanging="360"/>
      </w:pPr>
      <w:rPr>
        <w:rFonts w:hint="default"/>
        <w:b/>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num w:numId="1" w16cid:durableId="770398535">
    <w:abstractNumId w:val="7"/>
  </w:num>
  <w:num w:numId="2" w16cid:durableId="938222958">
    <w:abstractNumId w:val="0"/>
  </w:num>
  <w:num w:numId="3" w16cid:durableId="1063067876">
    <w:abstractNumId w:val="1"/>
  </w:num>
  <w:num w:numId="4" w16cid:durableId="412507111">
    <w:abstractNumId w:val="5"/>
  </w:num>
  <w:num w:numId="5" w16cid:durableId="1375428407">
    <w:abstractNumId w:val="10"/>
  </w:num>
  <w:num w:numId="6" w16cid:durableId="921140364">
    <w:abstractNumId w:val="8"/>
  </w:num>
  <w:num w:numId="7" w16cid:durableId="540441617">
    <w:abstractNumId w:val="2"/>
  </w:num>
  <w:num w:numId="8" w16cid:durableId="1548368811">
    <w:abstractNumId w:val="6"/>
  </w:num>
  <w:num w:numId="9" w16cid:durableId="1882209910">
    <w:abstractNumId w:val="3"/>
  </w:num>
  <w:num w:numId="10" w16cid:durableId="1766922313">
    <w:abstractNumId w:val="9"/>
  </w:num>
  <w:num w:numId="11" w16cid:durableId="80334818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29A5BC3-C808-4638-99F5-040AB91CD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Char">
    <w:name w:val="CR Cover Page Char"/>
    <w:link w:val="CRCoverPage"/>
    <w:rPr>
      <w:rFonts w:ascii="Arial" w:hAnsi="Arial"/>
      <w:lang w:val="en-GB" w:eastAsia="en-US"/>
    </w:rPr>
  </w:style>
  <w:style w:type="character" w:customStyle="1" w:styleId="B2Char">
    <w:name w:val="B2 Char"/>
    <w:link w:val="B2"/>
    <w:rPr>
      <w:rFonts w:ascii="Times New Roman" w:hAnsi="Times New Roman"/>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rFonts w:eastAsia="Malgun Gothic"/>
      <w: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uiPriority w:val="35"/>
    <w:rPr>
      <w:rFonts w:ascii="Times New Roman" w:eastAsia="Malgun Gothic" w:hAnsi="Times New Roman"/>
      <w:b/>
      <w:lang w:val="en-GB" w:eastAsia="en-US"/>
    </w:rPr>
  </w:style>
  <w:style w:type="table" w:styleId="TableGrid">
    <w:name w:val="Table Grid"/>
    <w:basedOn w:val="TableNormal"/>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Pr>
      <w:rFonts w:ascii="Times New Roman" w:hAnsi="Times New Roman"/>
      <w:lang w:val="en-GB" w:eastAsia="en-US"/>
    </w:rPr>
  </w:style>
  <w:style w:type="paragraph" w:styleId="ListParagraph">
    <w:name w:val="List Paragraph"/>
    <w:basedOn w:val="Normal"/>
    <w:uiPriority w:val="34"/>
    <w:qFormat/>
    <w:pPr>
      <w:spacing w:after="0"/>
      <w:ind w:left="720"/>
    </w:pPr>
    <w:rPr>
      <w:rFonts w:ascii="Calibri" w:eastAsia="Calibri" w:hAnsi="Calibri" w:cs="Calibri"/>
      <w:sz w:val="22"/>
      <w:szCs w:val="22"/>
      <w:lang w:val="en-US" w:eastAsia="zh-CN"/>
    </w:rPr>
  </w:style>
  <w:style w:type="paragraph" w:styleId="NormalWeb">
    <w:name w:val="Normal (Web)"/>
    <w:basedOn w:val="Normal"/>
    <w:uiPriority w:val="99"/>
    <w:semiHidden/>
    <w:unhideWhenUsed/>
    <w:pPr>
      <w:spacing w:before="100" w:beforeAutospacing="1" w:after="100" w:afterAutospacing="1"/>
    </w:pPr>
    <w:rPr>
      <w:sz w:val="24"/>
      <w:szCs w:val="24"/>
      <w:lang w:val="en-US" w:eastAsia="zh-CN"/>
    </w:rPr>
  </w:style>
  <w:style w:type="paragraph" w:styleId="Revision">
    <w:name w:val="Revision"/>
    <w:hidden/>
    <w:uiPriority w:val="99"/>
    <w:semiHidden/>
    <w:rPr>
      <w:rFonts w:ascii="Times New Roman" w:hAnsi="Times New Roman"/>
      <w:lang w:val="en-GB" w:eastAsia="en-US"/>
    </w:rPr>
  </w:style>
  <w:style w:type="paragraph" w:customStyle="1" w:styleId="Default">
    <w:name w:val="Default"/>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086372">
      <w:bodyDiv w:val="1"/>
      <w:marLeft w:val="0"/>
      <w:marRight w:val="0"/>
      <w:marTop w:val="0"/>
      <w:marBottom w:val="0"/>
      <w:divBdr>
        <w:top w:val="none" w:sz="0" w:space="0" w:color="auto"/>
        <w:left w:val="none" w:sz="0" w:space="0" w:color="auto"/>
        <w:bottom w:val="none" w:sz="0" w:space="0" w:color="auto"/>
        <w:right w:val="none" w:sz="0" w:space="0" w:color="auto"/>
      </w:divBdr>
    </w:div>
    <w:div w:id="376438811">
      <w:bodyDiv w:val="1"/>
      <w:marLeft w:val="0"/>
      <w:marRight w:val="0"/>
      <w:marTop w:val="0"/>
      <w:marBottom w:val="0"/>
      <w:divBdr>
        <w:top w:val="none" w:sz="0" w:space="0" w:color="auto"/>
        <w:left w:val="none" w:sz="0" w:space="0" w:color="auto"/>
        <w:bottom w:val="none" w:sz="0" w:space="0" w:color="auto"/>
        <w:right w:val="none" w:sz="0" w:space="0" w:color="auto"/>
      </w:divBdr>
      <w:divsChild>
        <w:div w:id="1442720391">
          <w:marLeft w:val="0"/>
          <w:marRight w:val="0"/>
          <w:marTop w:val="0"/>
          <w:marBottom w:val="0"/>
          <w:divBdr>
            <w:top w:val="none" w:sz="0" w:space="0" w:color="auto"/>
            <w:left w:val="none" w:sz="0" w:space="0" w:color="auto"/>
            <w:bottom w:val="none" w:sz="0" w:space="0" w:color="auto"/>
            <w:right w:val="none" w:sz="0" w:space="0" w:color="auto"/>
          </w:divBdr>
        </w:div>
      </w:divsChild>
    </w:div>
    <w:div w:id="548037422">
      <w:bodyDiv w:val="1"/>
      <w:marLeft w:val="0"/>
      <w:marRight w:val="0"/>
      <w:marTop w:val="0"/>
      <w:marBottom w:val="0"/>
      <w:divBdr>
        <w:top w:val="none" w:sz="0" w:space="0" w:color="auto"/>
        <w:left w:val="none" w:sz="0" w:space="0" w:color="auto"/>
        <w:bottom w:val="none" w:sz="0" w:space="0" w:color="auto"/>
        <w:right w:val="none" w:sz="0" w:space="0" w:color="auto"/>
      </w:divBdr>
    </w:div>
    <w:div w:id="657920275">
      <w:bodyDiv w:val="1"/>
      <w:marLeft w:val="0"/>
      <w:marRight w:val="0"/>
      <w:marTop w:val="0"/>
      <w:marBottom w:val="0"/>
      <w:divBdr>
        <w:top w:val="none" w:sz="0" w:space="0" w:color="auto"/>
        <w:left w:val="none" w:sz="0" w:space="0" w:color="auto"/>
        <w:bottom w:val="none" w:sz="0" w:space="0" w:color="auto"/>
        <w:right w:val="none" w:sz="0" w:space="0" w:color="auto"/>
      </w:divBdr>
    </w:div>
    <w:div w:id="772555633">
      <w:bodyDiv w:val="1"/>
      <w:marLeft w:val="0"/>
      <w:marRight w:val="0"/>
      <w:marTop w:val="0"/>
      <w:marBottom w:val="0"/>
      <w:divBdr>
        <w:top w:val="none" w:sz="0" w:space="0" w:color="auto"/>
        <w:left w:val="none" w:sz="0" w:space="0" w:color="auto"/>
        <w:bottom w:val="none" w:sz="0" w:space="0" w:color="auto"/>
        <w:right w:val="none" w:sz="0" w:space="0" w:color="auto"/>
      </w:divBdr>
    </w:div>
    <w:div w:id="858856699">
      <w:bodyDiv w:val="1"/>
      <w:marLeft w:val="0"/>
      <w:marRight w:val="0"/>
      <w:marTop w:val="0"/>
      <w:marBottom w:val="0"/>
      <w:divBdr>
        <w:top w:val="none" w:sz="0" w:space="0" w:color="auto"/>
        <w:left w:val="none" w:sz="0" w:space="0" w:color="auto"/>
        <w:bottom w:val="none" w:sz="0" w:space="0" w:color="auto"/>
        <w:right w:val="none" w:sz="0" w:space="0" w:color="auto"/>
      </w:divBdr>
    </w:div>
    <w:div w:id="898514489">
      <w:bodyDiv w:val="1"/>
      <w:marLeft w:val="0"/>
      <w:marRight w:val="0"/>
      <w:marTop w:val="0"/>
      <w:marBottom w:val="0"/>
      <w:divBdr>
        <w:top w:val="none" w:sz="0" w:space="0" w:color="auto"/>
        <w:left w:val="none" w:sz="0" w:space="0" w:color="auto"/>
        <w:bottom w:val="none" w:sz="0" w:space="0" w:color="auto"/>
        <w:right w:val="none" w:sz="0" w:space="0" w:color="auto"/>
      </w:divBdr>
      <w:divsChild>
        <w:div w:id="1031685309">
          <w:marLeft w:val="1526"/>
          <w:marRight w:val="0"/>
          <w:marTop w:val="0"/>
          <w:marBottom w:val="180"/>
          <w:divBdr>
            <w:top w:val="none" w:sz="0" w:space="0" w:color="auto"/>
            <w:left w:val="none" w:sz="0" w:space="0" w:color="auto"/>
            <w:bottom w:val="none" w:sz="0" w:space="0" w:color="auto"/>
            <w:right w:val="none" w:sz="0" w:space="0" w:color="auto"/>
          </w:divBdr>
        </w:div>
        <w:div w:id="1598563166">
          <w:marLeft w:val="1526"/>
          <w:marRight w:val="0"/>
          <w:marTop w:val="0"/>
          <w:marBottom w:val="180"/>
          <w:divBdr>
            <w:top w:val="none" w:sz="0" w:space="0" w:color="auto"/>
            <w:left w:val="none" w:sz="0" w:space="0" w:color="auto"/>
            <w:bottom w:val="none" w:sz="0" w:space="0" w:color="auto"/>
            <w:right w:val="none" w:sz="0" w:space="0" w:color="auto"/>
          </w:divBdr>
        </w:div>
      </w:divsChild>
    </w:div>
    <w:div w:id="923611894">
      <w:bodyDiv w:val="1"/>
      <w:marLeft w:val="0"/>
      <w:marRight w:val="0"/>
      <w:marTop w:val="0"/>
      <w:marBottom w:val="0"/>
      <w:divBdr>
        <w:top w:val="none" w:sz="0" w:space="0" w:color="auto"/>
        <w:left w:val="none" w:sz="0" w:space="0" w:color="auto"/>
        <w:bottom w:val="none" w:sz="0" w:space="0" w:color="auto"/>
        <w:right w:val="none" w:sz="0" w:space="0" w:color="auto"/>
      </w:divBdr>
    </w:div>
    <w:div w:id="1163274632">
      <w:bodyDiv w:val="1"/>
      <w:marLeft w:val="0"/>
      <w:marRight w:val="0"/>
      <w:marTop w:val="0"/>
      <w:marBottom w:val="0"/>
      <w:divBdr>
        <w:top w:val="none" w:sz="0" w:space="0" w:color="auto"/>
        <w:left w:val="none" w:sz="0" w:space="0" w:color="auto"/>
        <w:bottom w:val="none" w:sz="0" w:space="0" w:color="auto"/>
        <w:right w:val="none" w:sz="0" w:space="0" w:color="auto"/>
      </w:divBdr>
    </w:div>
    <w:div w:id="1387803909">
      <w:bodyDiv w:val="1"/>
      <w:marLeft w:val="0"/>
      <w:marRight w:val="0"/>
      <w:marTop w:val="0"/>
      <w:marBottom w:val="0"/>
      <w:divBdr>
        <w:top w:val="none" w:sz="0" w:space="0" w:color="auto"/>
        <w:left w:val="none" w:sz="0" w:space="0" w:color="auto"/>
        <w:bottom w:val="none" w:sz="0" w:space="0" w:color="auto"/>
        <w:right w:val="none" w:sz="0" w:space="0" w:color="auto"/>
      </w:divBdr>
    </w:div>
    <w:div w:id="1453787525">
      <w:bodyDiv w:val="1"/>
      <w:marLeft w:val="0"/>
      <w:marRight w:val="0"/>
      <w:marTop w:val="0"/>
      <w:marBottom w:val="0"/>
      <w:divBdr>
        <w:top w:val="none" w:sz="0" w:space="0" w:color="auto"/>
        <w:left w:val="none" w:sz="0" w:space="0" w:color="auto"/>
        <w:bottom w:val="none" w:sz="0" w:space="0" w:color="auto"/>
        <w:right w:val="none" w:sz="0" w:space="0" w:color="auto"/>
      </w:divBdr>
    </w:div>
    <w:div w:id="1841044126">
      <w:bodyDiv w:val="1"/>
      <w:marLeft w:val="0"/>
      <w:marRight w:val="0"/>
      <w:marTop w:val="0"/>
      <w:marBottom w:val="0"/>
      <w:divBdr>
        <w:top w:val="none" w:sz="0" w:space="0" w:color="auto"/>
        <w:left w:val="none" w:sz="0" w:space="0" w:color="auto"/>
        <w:bottom w:val="none" w:sz="0" w:space="0" w:color="auto"/>
        <w:right w:val="none" w:sz="0" w:space="0" w:color="auto"/>
      </w:divBdr>
    </w:div>
    <w:div w:id="1963224609">
      <w:bodyDiv w:val="1"/>
      <w:marLeft w:val="0"/>
      <w:marRight w:val="0"/>
      <w:marTop w:val="0"/>
      <w:marBottom w:val="0"/>
      <w:divBdr>
        <w:top w:val="none" w:sz="0" w:space="0" w:color="auto"/>
        <w:left w:val="none" w:sz="0" w:space="0" w:color="auto"/>
        <w:bottom w:val="none" w:sz="0" w:space="0" w:color="auto"/>
        <w:right w:val="none" w:sz="0" w:space="0" w:color="auto"/>
      </w:divBdr>
    </w:div>
    <w:div w:id="2128890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D2B5A-6331-4EFE-9540-ACF7D72F9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1080</Words>
  <Characters>6268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5</cp:revision>
  <cp:lastPrinted>1900-01-01T08:00:00Z</cp:lastPrinted>
  <dcterms:created xsi:type="dcterms:W3CDTF">2023-02-17T18:02:00Z</dcterms:created>
  <dcterms:modified xsi:type="dcterms:W3CDTF">2023-02-18T01:12:00Z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